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C8" w14:textId="77777777" w:rsidR="000F69FB" w:rsidRPr="00C803F3" w:rsidRDefault="000F69FB"/>
    <w:bookmarkStart w:id="0" w:name="Title" w:displacedByCustomXml="next"/>
    <w:sdt>
      <w:sdtPr>
        <w:alias w:val="Title"/>
        <w:tag w:val="Title"/>
        <w:id w:val="1323468504"/>
        <w:placeholder>
          <w:docPart w:val="61903E2FE5194F07884F95ED81866A63"/>
        </w:placeholder>
      </w:sdtPr>
      <w:sdtContent>
        <w:p w14:paraId="1CB6FDA7" w14:textId="57F4D474" w:rsidR="009B6F95" w:rsidRPr="00C803F3" w:rsidRDefault="0004701A" w:rsidP="009B6F95">
          <w:pPr>
            <w:pStyle w:val="Title1"/>
          </w:pPr>
          <w:r>
            <w:t>Levelling Up and Devolution S</w:t>
          </w:r>
          <w:r w:rsidR="000953FA">
            <w:t xml:space="preserve">upport to </w:t>
          </w:r>
          <w:r w:rsidR="00C1691D">
            <w:t>Councils</w:t>
          </w:r>
        </w:p>
        <w:bookmarkEnd w:id="0" w:displacedByCustomXml="next"/>
      </w:sdtContent>
    </w:sdt>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339CC2BD" w14:textId="10007B4E" w:rsidR="00795C95" w:rsidRDefault="00D06492" w:rsidP="00B84F31">
          <w:pPr>
            <w:ind w:left="0" w:firstLine="0"/>
            <w:rPr>
              <w:rStyle w:val="Title3Char"/>
            </w:rPr>
          </w:pPr>
          <w:r>
            <w:rPr>
              <w:rStyle w:val="Title3Char"/>
            </w:rPr>
            <w:t>For information.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10B83E8B" w14:textId="77777777" w:rsidR="009B6F95" w:rsidRPr="00A627DD" w:rsidRDefault="009B6F95" w:rsidP="00B84F31">
          <w:pPr>
            <w:ind w:left="0" w:firstLine="0"/>
          </w:pPr>
          <w:r w:rsidRPr="00C803F3">
            <w:rPr>
              <w:rStyle w:val="Style6"/>
            </w:rPr>
            <w:t>Summary</w:t>
          </w:r>
        </w:p>
      </w:sdtContent>
    </w:sdt>
    <w:p w14:paraId="59CA5044" w14:textId="534800A2" w:rsidR="009B6F95" w:rsidRDefault="00F1350E" w:rsidP="00253F05">
      <w:pPr>
        <w:pStyle w:val="Title3"/>
        <w:ind w:left="0" w:firstLine="0"/>
      </w:pPr>
      <w:r>
        <w:t xml:space="preserve">This paper sets out </w:t>
      </w:r>
      <w:r w:rsidR="00672475">
        <w:t xml:space="preserve">the sector support programme for devolution and Levelling Up funded by the 2022/23 DLUHC Grant. </w:t>
      </w:r>
    </w:p>
    <w:p w14:paraId="53CBE27F" w14:textId="1B736965" w:rsidR="00422B3C" w:rsidRPr="00391B75" w:rsidRDefault="00391B75" w:rsidP="00391B75">
      <w:pPr>
        <w:pStyle w:val="Title3"/>
        <w:rPr>
          <w:rFonts w:cs="Arial"/>
          <w:b/>
          <w:sz w:val="24"/>
          <w:szCs w:val="24"/>
        </w:rPr>
      </w:pPr>
      <w:r w:rsidRPr="003350C5">
        <w:rPr>
          <w:rFonts w:cs="Arial"/>
          <w:b/>
          <w:bCs/>
          <w:sz w:val="24"/>
          <w:szCs w:val="24"/>
        </w:rPr>
        <w:t xml:space="preserve">Is this report confidential? Yes </w:t>
      </w:r>
      <w:sdt>
        <w:sdtPr>
          <w:rPr>
            <w:rFonts w:cs="Arial"/>
            <w:b/>
            <w:bCs/>
            <w:i/>
            <w:iCs/>
            <w:sz w:val="24"/>
            <w:szCs w:val="24"/>
          </w:rPr>
          <w:id w:val="964168070"/>
          <w14:checkbox>
            <w14:checked w14:val="0"/>
            <w14:checkedState w14:val="2612" w14:font="MS Gothic"/>
            <w14:uncheckedState w14:val="2610" w14:font="MS Gothic"/>
          </w14:checkbox>
        </w:sdtPr>
        <w:sdtContent>
          <w:r w:rsidRPr="003350C5">
            <w:rPr>
              <w:rFonts w:ascii="Segoe UI Symbol" w:eastAsia="MS Gothic" w:hAnsi="Segoe UI Symbol" w:cs="Segoe UI Symbol"/>
              <w:b/>
              <w:bCs/>
              <w:sz w:val="24"/>
              <w:szCs w:val="24"/>
            </w:rPr>
            <w:t>☐</w:t>
          </w:r>
        </w:sdtContent>
      </w:sdt>
      <w:r w:rsidRPr="003350C5">
        <w:rPr>
          <w:rFonts w:cs="Arial"/>
          <w:b/>
          <w:bCs/>
          <w:sz w:val="24"/>
          <w:szCs w:val="24"/>
        </w:rPr>
        <w:tab/>
        <w:t xml:space="preserve">No </w:t>
      </w:r>
      <w:sdt>
        <w:sdtPr>
          <w:rPr>
            <w:rFonts w:cs="Arial"/>
            <w:b/>
            <w:bCs/>
            <w:i/>
            <w:iCs/>
            <w:sz w:val="24"/>
            <w:szCs w:val="24"/>
          </w:rPr>
          <w:id w:val="-2013125756"/>
          <w14:checkbox>
            <w14:checked w14:val="1"/>
            <w14:checkedState w14:val="2612" w14:font="MS Gothic"/>
            <w14:uncheckedState w14:val="2610" w14:font="MS Gothic"/>
          </w14:checkbox>
        </w:sdtPr>
        <w:sdtContent>
          <w:r w:rsidRPr="003350C5">
            <w:rPr>
              <w:rFonts w:ascii="Segoe UI Symbol" w:eastAsia="MS Gothic" w:hAnsi="Segoe UI Symbol" w:cs="Segoe UI Symbol"/>
              <w:b/>
              <w:bCs/>
              <w:sz w:val="24"/>
              <w:szCs w:val="24"/>
            </w:rPr>
            <w:t>☒</w:t>
          </w:r>
        </w:sdtContent>
      </w:sdt>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59D363" wp14:editId="244D4B0D">
                <wp:simplePos x="0" y="0"/>
                <wp:positionH relativeFrom="margin">
                  <wp:align>right</wp:align>
                </wp:positionH>
                <wp:positionV relativeFrom="paragraph">
                  <wp:posOffset>71120</wp:posOffset>
                </wp:positionV>
                <wp:extent cx="5705475" cy="2038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Content>
                              <w:p w14:paraId="6DAA8EA4" w14:textId="77777777" w:rsidR="000528D5" w:rsidRPr="00A627DD" w:rsidRDefault="000528D5" w:rsidP="00B84F31">
                                <w:pPr>
                                  <w:ind w:left="0" w:firstLine="0"/>
                                </w:pPr>
                                <w:r w:rsidRPr="00C803F3">
                                  <w:rPr>
                                    <w:rStyle w:val="Style6"/>
                                  </w:rPr>
                                  <w:t>Recommendation/s</w:t>
                                </w:r>
                              </w:p>
                            </w:sdtContent>
                          </w:sdt>
                          <w:p w14:paraId="0BFED08D" w14:textId="699236DD" w:rsidR="000528D5" w:rsidRDefault="001E5ADF" w:rsidP="001E5ADF">
                            <w:pPr>
                              <w:pStyle w:val="Title3"/>
                              <w:ind w:left="0" w:firstLine="0"/>
                            </w:pPr>
                            <w:r w:rsidRPr="00B84F31">
                              <w:t>That</w:t>
                            </w:r>
                            <w:r>
                              <w:t xml:space="preserve"> </w:t>
                            </w:r>
                            <w:r w:rsidR="00422B3C">
                              <w:t>the Board</w:t>
                            </w:r>
                            <w:r>
                              <w:t xml:space="preserve"> </w:t>
                            </w:r>
                            <w:r w:rsidR="00F150F6">
                              <w:t>notes the</w:t>
                            </w:r>
                            <w:r w:rsidR="00422B3C">
                              <w:t xml:space="preserve"> programme of support available to councils on devolution and levelling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pvfgIAAI4FAAAOAAAAZHJzL2Uyb0RvYy54bWysVEtvGjEQvlfqf7B8bxYIhBSxRJQoVSWU&#10;RCVVzsZrgxWvx7UNu/TXd+xdXkkuqXrxjj3fvL6dmfFNXWqyFc4rMDntXnQoEYZDocwqp7+e7r5c&#10;U+IDMwXTYEROd8LTm8nnT+PKjkQP1qAL4Qg6MX5U2ZyuQ7CjLPN8LUrmL8AKg0oJrmQBr26VFY5V&#10;6L3UWa/TucoqcIV1wIX3+HrbKOkk+ZdS8PAgpReB6JxibiGdLp3LeGaTMRutHLNrxds02D9kUTJl&#10;MOjB1S0LjGyceuOqVNyBBxkuOJQZSKm4SDVgNd3Oq2oWa2ZFqgXJ8fZAk/9/bvn9dmEfHQn1N6jx&#10;B0ZCKutHHh9jPbV0ZfxipgT1SOHuQJuoA+H4OBh2Bv3hgBKOul7n8vpykIjNjubW+fBdQEmikFOH&#10;/yXRxbZzHzAkQveQGM2DVsWd0jpdYi+ImXZky/Av6pCSRIszlDakyulVDP3GQ3R9sF9qxl9imece&#10;8KZNtBSpa9q0jlQkKey0iBhtfgpJVJEYeSdHxrkwhzwTOqIkVvQRwxZ/zOojxk0daJEigwkH41IZ&#10;cA1L59QWL3tqZYNHkk7qjmKol3XbIksodtg5Dpqh8pbfKSR6znx4ZA6nCJsFN0N4wENqwL8DrUTJ&#10;Gtyf994jHpsbtZRUOJU59b83zAlK9A+Dbf+12+/HMU6X/mDYw4s71SxPNWZTzgBbpos7yPIkRnzQ&#10;e1E6KJ9xgUxjVFQxwzF2TsNenIVmV+AC4mI6TSAcXMvC3Cwsj64jvbHBnupn5mzb4AFn4x7288tG&#10;r/q8wUZLA9NNAKnSEESCG1Zb4nHoU5+2CypuldN7Qh3X6OQvAAAA//8DAFBLAwQUAAYACAAAACEA&#10;81Y3oNsAAAAHAQAADwAAAGRycy9kb3ducmV2LnhtbEyPwU7DMBBE70j8g7WVuFGnqUBuiFMBKlw4&#10;URBnN3Ztq/E6st00/D3LCY47M5p5227nMLDJpOwjSlgtK2AG+6g9WgmfHy+3AlguCrUaIhoJ3ybD&#10;tru+alWj4wXfzbQvllEJ5kZJcKWMDee5dyaovIyjQfKOMQVV6EyW66QuVB4GXlfVPQ/KIy04NZpn&#10;Z/rT/hwk7J7sxvZCJbcT2vtp/jq+2Vcpbxbz4wOwYubyF4ZffEKHjpgO8Yw6s0ECPVJIXdXAyBUb&#10;cQfsIGG9rmvgXcv/83c/AAAA//8DAFBLAQItABQABgAIAAAAIQC2gziS/gAAAOEBAAATAAAAAAAA&#10;AAAAAAAAAAAAAABbQ29udGVudF9UeXBlc10ueG1sUEsBAi0AFAAGAAgAAAAhADj9If/WAAAAlAEA&#10;AAsAAAAAAAAAAAAAAAAALwEAAF9yZWxzLy5yZWxzUEsBAi0AFAAGAAgAAAAhAPRVqm9+AgAAjgUA&#10;AA4AAAAAAAAAAAAAAAAALgIAAGRycy9lMm9Eb2MueG1sUEsBAi0AFAAGAAgAAAAhAPNWN6DbAAAA&#10;BwEAAA8AAAAAAAAAAAAAAAAA2AQAAGRycy9kb3ducmV2LnhtbFBLBQYAAAAABAAEAPMAAADgBQAA&#10;AAA=&#10;" fillcolor="white [3201]" strokeweight=".5pt">
                <v:textbo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Content>
                        <w:p w14:paraId="6DAA8EA4" w14:textId="77777777" w:rsidR="000528D5" w:rsidRPr="00A627DD" w:rsidRDefault="000528D5" w:rsidP="00B84F31">
                          <w:pPr>
                            <w:ind w:left="0" w:firstLine="0"/>
                          </w:pPr>
                          <w:r w:rsidRPr="00C803F3">
                            <w:rPr>
                              <w:rStyle w:val="Style6"/>
                            </w:rPr>
                            <w:t>Recommendation/s</w:t>
                          </w:r>
                        </w:p>
                      </w:sdtContent>
                    </w:sdt>
                    <w:p w14:paraId="0BFED08D" w14:textId="699236DD" w:rsidR="000528D5" w:rsidRDefault="001E5ADF" w:rsidP="001E5ADF">
                      <w:pPr>
                        <w:pStyle w:val="Title3"/>
                        <w:ind w:left="0" w:firstLine="0"/>
                      </w:pPr>
                      <w:r w:rsidRPr="00B84F31">
                        <w:t>That</w:t>
                      </w:r>
                      <w:r>
                        <w:t xml:space="preserve"> </w:t>
                      </w:r>
                      <w:r w:rsidR="00422B3C">
                        <w:t>the Board</w:t>
                      </w:r>
                      <w:r>
                        <w:t xml:space="preserve"> </w:t>
                      </w:r>
                      <w:r w:rsidR="00F150F6">
                        <w:t>notes the</w:t>
                      </w:r>
                      <w:r w:rsidR="00422B3C">
                        <w:t xml:space="preserve"> programme of support available to councils on devolution and levelling up.</w:t>
                      </w: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2C99BBD4" w14:textId="77777777" w:rsidR="009B6F95" w:rsidRDefault="009B6F95" w:rsidP="00253F05">
      <w:pPr>
        <w:pStyle w:val="Title3"/>
        <w:ind w:left="0" w:firstLine="0"/>
      </w:pPr>
    </w:p>
    <w:p w14:paraId="20C776B4" w14:textId="79C97CCE" w:rsidR="009B6F95" w:rsidRPr="00C803F3" w:rsidRDefault="004D6F8B"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04701A">
            <w:t>Lusi Manukyan</w:t>
          </w:r>
        </w:sdtContent>
      </w:sdt>
    </w:p>
    <w:p w14:paraId="1F21A432" w14:textId="4A595D59" w:rsidR="009B6F95" w:rsidRDefault="004D6F8B"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422B3C">
            <w:t>Senior Adviser – Improvement and Policy</w:t>
          </w:r>
        </w:sdtContent>
      </w:sdt>
    </w:p>
    <w:p w14:paraId="68A4CC9B" w14:textId="072DBF43" w:rsidR="009B6F95" w:rsidRDefault="004D6F8B"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425A900D7E884B1F9F17FA0290C47927"/>
          </w:placeholder>
          <w:text w:multiLine="1"/>
        </w:sdtPr>
        <w:sdtContent>
          <w:r w:rsidR="00F1350E" w:rsidRPr="00F1350E">
            <w:rPr>
              <w:rFonts w:eastAsiaTheme="minorEastAsia" w:cs="Arial"/>
              <w:noProof/>
              <w:lang w:eastAsia="en-GB"/>
            </w:rPr>
            <w:t>07818577429</w:t>
          </w:r>
        </w:sdtContent>
      </w:sdt>
      <w:r w:rsidR="009B6F95" w:rsidRPr="00B5377C">
        <w:t xml:space="preserve"> </w:t>
      </w:r>
    </w:p>
    <w:p w14:paraId="154A4A3A" w14:textId="089E74B9" w:rsidR="009B6F95" w:rsidRDefault="004D6F8B"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422B3C">
            <w:t>lusi.manu</w:t>
          </w:r>
          <w:r w:rsidR="00AC1907">
            <w:t>kyan</w:t>
          </w:r>
          <w:r w:rsidR="009B6F95" w:rsidRPr="00C803F3">
            <w:t>@local.gov.uk</w:t>
          </w:r>
        </w:sdtContent>
      </w:sdt>
    </w:p>
    <w:p w14:paraId="5E0E4678" w14:textId="77777777" w:rsidR="009B6F95" w:rsidRPr="00E8118A" w:rsidRDefault="009B6F95" w:rsidP="00B84F31">
      <w:pPr>
        <w:pStyle w:val="Title3"/>
      </w:pPr>
    </w:p>
    <w:p w14:paraId="05A9AC23" w14:textId="41F09F25" w:rsidR="003D7B8F" w:rsidRDefault="009B6F95" w:rsidP="00253F05">
      <w:pPr>
        <w:pStyle w:val="Title3"/>
      </w:pPr>
      <w:r w:rsidRPr="00C803F3">
        <w:t xml:space="preserve"> </w:t>
      </w:r>
    </w:p>
    <w:p w14:paraId="47162249" w14:textId="372E2E2D" w:rsidR="00AC1907" w:rsidRDefault="00AC1907" w:rsidP="00253F05">
      <w:pPr>
        <w:pStyle w:val="Title3"/>
      </w:pPr>
    </w:p>
    <w:p w14:paraId="01AE3E28" w14:textId="149334CA" w:rsidR="00AC1907" w:rsidRDefault="00AC1907" w:rsidP="00253F05">
      <w:pPr>
        <w:pStyle w:val="Title3"/>
      </w:pPr>
    </w:p>
    <w:p w14:paraId="6E5CDBF6" w14:textId="77777777" w:rsidR="00AC1907" w:rsidRDefault="00AC1907" w:rsidP="00253F05">
      <w:pPr>
        <w:pStyle w:val="Title3"/>
      </w:pPr>
    </w:p>
    <w:p w14:paraId="54B7F5AD" w14:textId="77777777" w:rsidR="00FF31BF" w:rsidRPr="00C803F3" w:rsidRDefault="00FF31BF" w:rsidP="00253F05">
      <w:pPr>
        <w:pStyle w:val="Title3"/>
      </w:pPr>
    </w:p>
    <w:sdt>
      <w:sdtPr>
        <w:alias w:val="Title"/>
        <w:tag w:val="Title"/>
        <w:id w:val="-526485453"/>
        <w:placeholder>
          <w:docPart w:val="AE9338A0C99C407E9F91ED506E09056D"/>
        </w:placeholder>
      </w:sdtPr>
      <w:sdtContent>
        <w:p w14:paraId="54297433" w14:textId="77777777" w:rsidR="00AC1907" w:rsidRPr="00C803F3" w:rsidRDefault="00AC1907" w:rsidP="00AC1907">
          <w:pPr>
            <w:pStyle w:val="Title1"/>
          </w:pPr>
          <w:r>
            <w:t>Levelling Up and Devolution Support to Councils</w:t>
          </w:r>
        </w:p>
      </w:sdtContent>
    </w:sdt>
    <w:p w14:paraId="2323D1B6" w14:textId="625EF0EE" w:rsidR="009B6F95" w:rsidRPr="00C803F3" w:rsidRDefault="004D6F8B" w:rsidP="003D7B8F">
      <w:pPr>
        <w:rPr>
          <w:rStyle w:val="ReportTemplate"/>
        </w:rPr>
      </w:pP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47F97894" w14:textId="321A76F7" w:rsidR="00630D74" w:rsidRPr="003E7DF6" w:rsidRDefault="00360EA7" w:rsidP="003E7DF6">
      <w:pPr>
        <w:pStyle w:val="ListParagraph"/>
        <w:numPr>
          <w:ilvl w:val="0"/>
          <w:numId w:val="3"/>
        </w:numPr>
        <w:spacing w:line="259" w:lineRule="auto"/>
        <w:rPr>
          <w:rFonts w:cs="Arial"/>
        </w:rPr>
      </w:pPr>
      <w:r w:rsidRPr="00360EA7">
        <w:rPr>
          <w:rFonts w:cs="Arial"/>
        </w:rPr>
        <w:t xml:space="preserve">The publication of the Levelling Up White Paper has expanded and extended opportunities for devolution, opening it for the first time to any area of the country that wants </w:t>
      </w:r>
      <w:r w:rsidRPr="2210BD95">
        <w:rPr>
          <w:rFonts w:cs="Arial"/>
        </w:rPr>
        <w:t xml:space="preserve">a </w:t>
      </w:r>
      <w:r w:rsidRPr="00360EA7">
        <w:rPr>
          <w:rFonts w:cs="Arial"/>
        </w:rPr>
        <w:t>devolution</w:t>
      </w:r>
      <w:r w:rsidRPr="2210BD95">
        <w:rPr>
          <w:rFonts w:cs="Arial"/>
        </w:rPr>
        <w:t xml:space="preserve"> deal</w:t>
      </w:r>
      <w:r w:rsidRPr="00360EA7">
        <w:rPr>
          <w:rFonts w:cs="Arial"/>
        </w:rPr>
        <w:t xml:space="preserve">. </w:t>
      </w:r>
      <w:r w:rsidR="003E7DF6">
        <w:rPr>
          <w:rFonts w:cs="Arial"/>
        </w:rPr>
        <w:t>In response to this and a</w:t>
      </w:r>
      <w:r w:rsidR="006E6D03">
        <w:rPr>
          <w:rFonts w:cs="Arial"/>
        </w:rPr>
        <w:t xml:space="preserve">s part of our sector support programme, funded by DLUHC, the LGA has put in place </w:t>
      </w:r>
      <w:r w:rsidRPr="00360EA7">
        <w:rPr>
          <w:rFonts w:cs="Arial"/>
        </w:rPr>
        <w:t xml:space="preserve">support </w:t>
      </w:r>
      <w:r w:rsidR="006E6D03">
        <w:rPr>
          <w:rFonts w:cs="Arial"/>
        </w:rPr>
        <w:t xml:space="preserve">for </w:t>
      </w:r>
      <w:r w:rsidRPr="00360EA7">
        <w:rPr>
          <w:rFonts w:cs="Arial"/>
        </w:rPr>
        <w:t>councils to understand the new devolution framework and governance implications</w:t>
      </w:r>
      <w:r w:rsidR="003E7DF6">
        <w:rPr>
          <w:rFonts w:cs="Arial"/>
        </w:rPr>
        <w:t xml:space="preserve">, as well as </w:t>
      </w:r>
      <w:r w:rsidR="00630D74" w:rsidRPr="003E7DF6">
        <w:rPr>
          <w:rFonts w:cs="Arial"/>
        </w:rPr>
        <w:t xml:space="preserve">fulfil the Levelling Up missions, lead their place-shaping </w:t>
      </w:r>
      <w:proofErr w:type="gramStart"/>
      <w:r w:rsidR="00630D74" w:rsidRPr="003E7DF6">
        <w:rPr>
          <w:rFonts w:cs="Arial"/>
        </w:rPr>
        <w:t>ambitions</w:t>
      </w:r>
      <w:proofErr w:type="gramEnd"/>
      <w:r w:rsidR="00630D74" w:rsidRPr="003E7DF6">
        <w:rPr>
          <w:rFonts w:cs="Arial"/>
        </w:rPr>
        <w:t xml:space="preserve"> and enable further devolution. </w:t>
      </w:r>
      <w:r w:rsidR="003E7DF6">
        <w:br/>
      </w:r>
    </w:p>
    <w:p w14:paraId="261EE6AD" w14:textId="3F1DA3A2" w:rsidR="00956A77" w:rsidRDefault="003E7DF6" w:rsidP="00E94022">
      <w:pPr>
        <w:pStyle w:val="ListParagraph"/>
        <w:numPr>
          <w:ilvl w:val="0"/>
          <w:numId w:val="3"/>
        </w:numPr>
        <w:spacing w:line="259" w:lineRule="auto"/>
        <w:rPr>
          <w:rFonts w:cs="Arial"/>
        </w:rPr>
      </w:pPr>
      <w:r>
        <w:rPr>
          <w:rFonts w:cs="Arial"/>
        </w:rPr>
        <w:t>We have developed a</w:t>
      </w:r>
      <w:r w:rsidR="00360EA7" w:rsidRPr="00360EA7">
        <w:rPr>
          <w:rFonts w:cs="Arial"/>
        </w:rPr>
        <w:t xml:space="preserve"> flexible programme support to councils as they consider options for devolution deals, and as and when they embark on negotiations. At the same time, </w:t>
      </w:r>
      <w:r w:rsidR="00632084">
        <w:rPr>
          <w:rFonts w:cs="Arial"/>
        </w:rPr>
        <w:t>the LGA</w:t>
      </w:r>
      <w:r w:rsidR="00360EA7" w:rsidRPr="00360EA7">
        <w:rPr>
          <w:rFonts w:cs="Arial"/>
        </w:rPr>
        <w:t xml:space="preserve"> continue to provide support to the existing combined authorities, including combined authorities with ‘trailblazer’ deals. Additional support will be available to councils through </w:t>
      </w:r>
      <w:r w:rsidR="00632084">
        <w:rPr>
          <w:rFonts w:cs="Arial"/>
        </w:rPr>
        <w:t xml:space="preserve">various </w:t>
      </w:r>
      <w:r>
        <w:rPr>
          <w:rFonts w:cs="Arial"/>
        </w:rPr>
        <w:t>exis</w:t>
      </w:r>
      <w:r w:rsidR="008A4973">
        <w:rPr>
          <w:rFonts w:cs="Arial"/>
        </w:rPr>
        <w:t xml:space="preserve">ting programmes as detailed below. </w:t>
      </w:r>
    </w:p>
    <w:p w14:paraId="6F1B651A" w14:textId="77777777" w:rsidR="008A4973" w:rsidRDefault="008A4973" w:rsidP="008A4973">
      <w:pPr>
        <w:pStyle w:val="ListParagraph"/>
        <w:spacing w:line="259" w:lineRule="auto"/>
        <w:ind w:left="360"/>
        <w:rPr>
          <w:rFonts w:cs="Arial"/>
        </w:rPr>
      </w:pPr>
    </w:p>
    <w:p w14:paraId="276BB498" w14:textId="3CA52628" w:rsidR="00956A77" w:rsidRPr="00686963" w:rsidRDefault="00C760C0" w:rsidP="00686963">
      <w:pPr>
        <w:pStyle w:val="ListParagraph"/>
        <w:numPr>
          <w:ilvl w:val="0"/>
          <w:numId w:val="3"/>
        </w:numPr>
        <w:spacing w:line="259" w:lineRule="auto"/>
        <w:rPr>
          <w:rFonts w:cs="Arial"/>
        </w:rPr>
      </w:pPr>
      <w:r w:rsidRPr="00C760C0">
        <w:rPr>
          <w:rFonts w:cs="Arial"/>
        </w:rPr>
        <w:t>Th</w:t>
      </w:r>
      <w:r>
        <w:rPr>
          <w:rFonts w:cs="Arial"/>
        </w:rPr>
        <w:t>is</w:t>
      </w:r>
      <w:r w:rsidRPr="00C760C0">
        <w:rPr>
          <w:rFonts w:cs="Arial"/>
        </w:rPr>
        <w:t xml:space="preserve"> offer has been shared and agreed with officials from DLUHC</w:t>
      </w:r>
      <w:r>
        <w:rPr>
          <w:rFonts w:cs="Arial"/>
        </w:rPr>
        <w:t>. Officials have confirmed that</w:t>
      </w:r>
      <w:r w:rsidR="00604798">
        <w:rPr>
          <w:rFonts w:cs="Arial"/>
        </w:rPr>
        <w:t xml:space="preserve"> despite the recent changes in the ministerial team,</w:t>
      </w:r>
      <w:r>
        <w:rPr>
          <w:rFonts w:cs="Arial"/>
        </w:rPr>
        <w:t xml:space="preserve"> the </w:t>
      </w:r>
      <w:r w:rsidR="00212778">
        <w:rPr>
          <w:rFonts w:cs="Arial"/>
        </w:rPr>
        <w:t xml:space="preserve">government remains committed to the levelling up agenda and this is unlikely to change </w:t>
      </w:r>
      <w:proofErr w:type="gramStart"/>
      <w:r w:rsidR="00212778">
        <w:rPr>
          <w:rFonts w:cs="Arial"/>
        </w:rPr>
        <w:t>in the near future</w:t>
      </w:r>
      <w:proofErr w:type="gramEnd"/>
      <w:r w:rsidR="00212778">
        <w:rPr>
          <w:rFonts w:cs="Arial"/>
        </w:rPr>
        <w:t>.</w:t>
      </w:r>
      <w:r w:rsidR="00686963">
        <w:rPr>
          <w:rFonts w:cs="Arial"/>
        </w:rPr>
        <w:t xml:space="preserve"> </w:t>
      </w:r>
      <w:r w:rsidR="00686963" w:rsidRPr="00686963">
        <w:rPr>
          <w:rFonts w:cs="Arial"/>
        </w:rPr>
        <w:t>To ensure that all LGA support around Levelling Up and Devolution remains relevant and sustainable regardless of any changes in policy, t</w:t>
      </w:r>
      <w:r w:rsidR="00030955" w:rsidRPr="00686963">
        <w:rPr>
          <w:rFonts w:cs="Arial"/>
        </w:rPr>
        <w:t>he LGA has engaged with a wide range of councils to better understand their needs, their areas of pressure, and any gaps in our current provision. </w:t>
      </w:r>
    </w:p>
    <w:p w14:paraId="1AC7EF1B" w14:textId="77777777" w:rsidR="001A1956" w:rsidRDefault="001A1956" w:rsidP="001A1956">
      <w:pPr>
        <w:pStyle w:val="ListParagraph"/>
        <w:ind w:left="360"/>
      </w:pPr>
    </w:p>
    <w:p w14:paraId="3F788521" w14:textId="68EA0BE5" w:rsidR="00BE190A" w:rsidRPr="004F5DCD" w:rsidRDefault="00BE190A" w:rsidP="004F5DCD">
      <w:pPr>
        <w:rPr>
          <w:rFonts w:cs="Arial"/>
          <w:b/>
          <w:bCs/>
        </w:rPr>
      </w:pPr>
      <w:r w:rsidRPr="008733D2">
        <w:rPr>
          <w:rFonts w:cs="Arial"/>
          <w:b/>
          <w:bCs/>
        </w:rPr>
        <w:t>Devolution support</w:t>
      </w:r>
    </w:p>
    <w:p w14:paraId="174B4A7E" w14:textId="31EB2A56" w:rsidR="00672475" w:rsidRDefault="00A67057" w:rsidP="00672475">
      <w:pPr>
        <w:numPr>
          <w:ilvl w:val="0"/>
          <w:numId w:val="3"/>
        </w:numPr>
        <w:spacing w:after="0" w:line="259" w:lineRule="auto"/>
        <w:rPr>
          <w:rFonts w:cs="Arial"/>
        </w:rPr>
      </w:pPr>
      <w:bookmarkStart w:id="1" w:name="_Hlk29805636"/>
      <w:r>
        <w:rPr>
          <w:rFonts w:cs="Arial"/>
        </w:rPr>
        <w:t xml:space="preserve">Specific support has been </w:t>
      </w:r>
      <w:r w:rsidR="00672475">
        <w:rPr>
          <w:rFonts w:cs="Arial"/>
        </w:rPr>
        <w:t>put</w:t>
      </w:r>
      <w:r>
        <w:rPr>
          <w:rFonts w:cs="Arial"/>
        </w:rPr>
        <w:t xml:space="preserve"> </w:t>
      </w:r>
      <w:r w:rsidR="00672475">
        <w:rPr>
          <w:rFonts w:cs="Arial"/>
        </w:rPr>
        <w:t xml:space="preserve">in place in response to council needs around devolution. This includes: </w:t>
      </w:r>
      <w:r w:rsidR="00E84A84">
        <w:rPr>
          <w:rFonts w:cs="Arial"/>
        </w:rPr>
        <w:br/>
      </w:r>
    </w:p>
    <w:p w14:paraId="0402ECE2" w14:textId="38B42D3B" w:rsidR="00672475" w:rsidRDefault="00E84A84" w:rsidP="000C7D60">
      <w:pPr>
        <w:numPr>
          <w:ilvl w:val="1"/>
          <w:numId w:val="3"/>
        </w:numPr>
        <w:spacing w:after="120" w:line="259" w:lineRule="auto"/>
        <w:ind w:left="788" w:hanging="431"/>
        <w:rPr>
          <w:rFonts w:cs="Arial"/>
        </w:rPr>
      </w:pPr>
      <w:r w:rsidRPr="00672475">
        <w:rPr>
          <w:rFonts w:cs="Arial"/>
          <w:b/>
          <w:bCs/>
        </w:rPr>
        <w:t>Combined Authority Officer and Peer networks</w:t>
      </w:r>
      <w:r w:rsidR="00BE190A" w:rsidRPr="00672475">
        <w:rPr>
          <w:rFonts w:cs="Arial"/>
        </w:rPr>
        <w:t xml:space="preserve">, </w:t>
      </w:r>
      <w:r w:rsidR="00A67057" w:rsidRPr="00672475">
        <w:rPr>
          <w:sz w:val="23"/>
          <w:szCs w:val="23"/>
        </w:rPr>
        <w:t xml:space="preserve">which will expand as new combined authorities and other devolution areas are agreed and will commission additional support and resources. </w:t>
      </w:r>
      <w:r w:rsidRPr="00672475">
        <w:rPr>
          <w:rFonts w:cs="Arial"/>
        </w:rPr>
        <w:t xml:space="preserve"> </w:t>
      </w:r>
    </w:p>
    <w:p w14:paraId="3CDD82F0" w14:textId="2B66516C" w:rsidR="00672475" w:rsidRPr="00672475" w:rsidRDefault="00A67057" w:rsidP="000C7D60">
      <w:pPr>
        <w:numPr>
          <w:ilvl w:val="1"/>
          <w:numId w:val="3"/>
        </w:numPr>
        <w:spacing w:after="120" w:line="259" w:lineRule="auto"/>
        <w:ind w:left="788" w:hanging="431"/>
        <w:rPr>
          <w:rFonts w:cs="Arial"/>
        </w:rPr>
      </w:pPr>
      <w:r w:rsidRPr="00672475">
        <w:rPr>
          <w:b/>
          <w:bCs/>
          <w:sz w:val="23"/>
          <w:szCs w:val="23"/>
        </w:rPr>
        <w:t>Sector-wide devolution and levelling up resources</w:t>
      </w:r>
      <w:r w:rsidRPr="00672475">
        <w:rPr>
          <w:sz w:val="23"/>
          <w:szCs w:val="23"/>
        </w:rPr>
        <w:t xml:space="preserve">, through a regularly updated online Devolution Hub, Levelling Up </w:t>
      </w:r>
      <w:proofErr w:type="gramStart"/>
      <w:r w:rsidRPr="00672475">
        <w:rPr>
          <w:sz w:val="23"/>
          <w:szCs w:val="23"/>
        </w:rPr>
        <w:t>Hub</w:t>
      </w:r>
      <w:proofErr w:type="gramEnd"/>
      <w:r w:rsidRPr="00672475">
        <w:rPr>
          <w:sz w:val="23"/>
          <w:szCs w:val="23"/>
        </w:rPr>
        <w:t xml:space="preserve"> and devolution bulletin. </w:t>
      </w:r>
    </w:p>
    <w:p w14:paraId="0BA742AB" w14:textId="77777777" w:rsidR="00672475" w:rsidRPr="00672475" w:rsidRDefault="00E84A84" w:rsidP="000C7D60">
      <w:pPr>
        <w:numPr>
          <w:ilvl w:val="1"/>
          <w:numId w:val="3"/>
        </w:numPr>
        <w:spacing w:after="120" w:line="259" w:lineRule="auto"/>
        <w:ind w:left="788" w:hanging="431"/>
        <w:rPr>
          <w:rFonts w:cs="Arial"/>
        </w:rPr>
      </w:pPr>
      <w:r w:rsidRPr="008733D2">
        <w:rPr>
          <w:rFonts w:cs="Arial"/>
          <w:b/>
          <w:bCs/>
        </w:rPr>
        <w:t xml:space="preserve">Peer support and peer to peer knowledge sharing </w:t>
      </w:r>
      <w:r w:rsidR="00A67057" w:rsidRPr="003019C9">
        <w:rPr>
          <w:rFonts w:cs="Arial"/>
        </w:rPr>
        <w:t>f</w:t>
      </w:r>
      <w:r w:rsidR="00A67057" w:rsidRPr="003019C9">
        <w:rPr>
          <w:sz w:val="23"/>
          <w:szCs w:val="23"/>
        </w:rPr>
        <w:t>or</w:t>
      </w:r>
      <w:r w:rsidR="00A67057" w:rsidRPr="00672475">
        <w:rPr>
          <w:sz w:val="23"/>
          <w:szCs w:val="23"/>
        </w:rPr>
        <w:t xml:space="preserve"> councils on similar devolution pathways, including support for both members and officers.</w:t>
      </w:r>
    </w:p>
    <w:p w14:paraId="00054BF6" w14:textId="67D258D8" w:rsidR="004D6F8B" w:rsidRPr="008733D2" w:rsidRDefault="00A67057" w:rsidP="000C7D60">
      <w:pPr>
        <w:numPr>
          <w:ilvl w:val="1"/>
          <w:numId w:val="3"/>
        </w:numPr>
        <w:spacing w:after="120" w:line="259" w:lineRule="auto"/>
        <w:ind w:left="788" w:hanging="431"/>
        <w:rPr>
          <w:rFonts w:cs="Arial"/>
        </w:rPr>
      </w:pPr>
      <w:r w:rsidRPr="00672475">
        <w:rPr>
          <w:b/>
          <w:bCs/>
          <w:sz w:val="23"/>
          <w:szCs w:val="23"/>
        </w:rPr>
        <w:t>A series of webinars and events</w:t>
      </w:r>
      <w:r w:rsidRPr="00672475">
        <w:rPr>
          <w:sz w:val="23"/>
          <w:szCs w:val="23"/>
        </w:rPr>
        <w:t xml:space="preserve"> to support and inform councils considering and/or negotiating a devolution deal</w:t>
      </w:r>
      <w:r w:rsidR="00E84A84" w:rsidRPr="008733D2">
        <w:rPr>
          <w:rFonts w:cs="Arial"/>
        </w:rPr>
        <w:t>, including on:</w:t>
      </w:r>
    </w:p>
    <w:p w14:paraId="663FC3DA" w14:textId="77777777" w:rsidR="004D6F8B" w:rsidRPr="00A67057" w:rsidRDefault="00E84A84" w:rsidP="00672475">
      <w:pPr>
        <w:pStyle w:val="ListParagraph"/>
        <w:numPr>
          <w:ilvl w:val="0"/>
          <w:numId w:val="17"/>
        </w:numPr>
        <w:spacing w:after="0" w:line="259" w:lineRule="auto"/>
        <w:ind w:left="1440"/>
        <w:rPr>
          <w:rFonts w:cs="Arial"/>
        </w:rPr>
      </w:pPr>
      <w:r w:rsidRPr="00A67057">
        <w:rPr>
          <w:rFonts w:cs="Arial"/>
        </w:rPr>
        <w:t>practical steps to setting up a CA</w:t>
      </w:r>
    </w:p>
    <w:p w14:paraId="374977D6" w14:textId="77777777" w:rsidR="004D6F8B" w:rsidRPr="00A67057" w:rsidRDefault="00E84A84" w:rsidP="00672475">
      <w:pPr>
        <w:pStyle w:val="ListParagraph"/>
        <w:numPr>
          <w:ilvl w:val="0"/>
          <w:numId w:val="17"/>
        </w:numPr>
        <w:spacing w:after="0" w:line="259" w:lineRule="auto"/>
        <w:ind w:left="1440"/>
        <w:rPr>
          <w:rFonts w:cs="Arial"/>
        </w:rPr>
      </w:pPr>
      <w:r w:rsidRPr="00A67057">
        <w:rPr>
          <w:rFonts w:cs="Arial"/>
        </w:rPr>
        <w:t>using data locally</w:t>
      </w:r>
    </w:p>
    <w:p w14:paraId="188714D3" w14:textId="77777777" w:rsidR="004D6F8B" w:rsidRPr="00A67057" w:rsidRDefault="00E84A84" w:rsidP="00672475">
      <w:pPr>
        <w:pStyle w:val="ListParagraph"/>
        <w:numPr>
          <w:ilvl w:val="0"/>
          <w:numId w:val="17"/>
        </w:numPr>
        <w:spacing w:after="0" w:line="259" w:lineRule="auto"/>
        <w:ind w:left="1440"/>
        <w:rPr>
          <w:rFonts w:cs="Arial"/>
        </w:rPr>
      </w:pPr>
      <w:r w:rsidRPr="00A67057">
        <w:rPr>
          <w:rFonts w:cs="Arial"/>
        </w:rPr>
        <w:t>comms and engagement</w:t>
      </w:r>
    </w:p>
    <w:p w14:paraId="1136B274" w14:textId="7DE48495" w:rsidR="004D6F8B" w:rsidRPr="00A67057" w:rsidRDefault="00E84A84" w:rsidP="00672475">
      <w:pPr>
        <w:pStyle w:val="ListParagraph"/>
        <w:numPr>
          <w:ilvl w:val="0"/>
          <w:numId w:val="17"/>
        </w:numPr>
        <w:spacing w:after="0" w:line="259" w:lineRule="auto"/>
        <w:ind w:left="1440"/>
        <w:rPr>
          <w:rFonts w:cs="Arial"/>
        </w:rPr>
      </w:pPr>
      <w:r w:rsidRPr="00A67057">
        <w:rPr>
          <w:rFonts w:cs="Arial"/>
        </w:rPr>
        <w:t xml:space="preserve">governance, </w:t>
      </w:r>
      <w:proofErr w:type="gramStart"/>
      <w:r w:rsidRPr="00A67057">
        <w:rPr>
          <w:rFonts w:cs="Arial"/>
        </w:rPr>
        <w:t>accountability</w:t>
      </w:r>
      <w:proofErr w:type="gramEnd"/>
      <w:r w:rsidRPr="00A67057">
        <w:rPr>
          <w:rFonts w:cs="Arial"/>
        </w:rPr>
        <w:t xml:space="preserve"> and scrutiny</w:t>
      </w:r>
      <w:r w:rsidR="00A67057">
        <w:rPr>
          <w:rFonts w:cs="Arial"/>
        </w:rPr>
        <w:br/>
      </w:r>
    </w:p>
    <w:p w14:paraId="7A68D0C6" w14:textId="62E2EA0D" w:rsidR="004D6F8B" w:rsidRPr="000C7D60" w:rsidRDefault="00E84A84" w:rsidP="000C7D60">
      <w:pPr>
        <w:pStyle w:val="ListParagraph"/>
        <w:numPr>
          <w:ilvl w:val="1"/>
          <w:numId w:val="3"/>
        </w:numPr>
        <w:spacing w:after="120" w:line="259" w:lineRule="auto"/>
        <w:ind w:left="788" w:hanging="431"/>
        <w:contextualSpacing w:val="0"/>
        <w:rPr>
          <w:rFonts w:cs="Arial"/>
        </w:rPr>
      </w:pPr>
      <w:r w:rsidRPr="000C7D60">
        <w:rPr>
          <w:rFonts w:cs="Arial"/>
          <w:b/>
          <w:bCs/>
        </w:rPr>
        <w:t xml:space="preserve">Support to councils to develop and communicate an evidence base for devolution deals, </w:t>
      </w:r>
      <w:r w:rsidRPr="000C7D60">
        <w:rPr>
          <w:rFonts w:cs="Arial"/>
        </w:rPr>
        <w:t>including though LG Inform</w:t>
      </w:r>
    </w:p>
    <w:p w14:paraId="05621329" w14:textId="4CDBCD55" w:rsidR="00DB6B1A" w:rsidRPr="000C7D60" w:rsidRDefault="00E84A84" w:rsidP="000C7D60">
      <w:pPr>
        <w:pStyle w:val="ListParagraph"/>
        <w:numPr>
          <w:ilvl w:val="1"/>
          <w:numId w:val="3"/>
        </w:numPr>
        <w:spacing w:after="120" w:line="259" w:lineRule="auto"/>
        <w:ind w:left="788" w:hanging="431"/>
        <w:contextualSpacing w:val="0"/>
        <w:rPr>
          <w:rFonts w:cs="Arial"/>
        </w:rPr>
      </w:pPr>
      <w:r w:rsidRPr="000C7D60">
        <w:rPr>
          <w:rFonts w:cs="Arial"/>
          <w:b/>
          <w:bCs/>
        </w:rPr>
        <w:t>Additional bespoke support</w:t>
      </w:r>
      <w:r w:rsidR="00BE190A" w:rsidRPr="000C7D60">
        <w:rPr>
          <w:rFonts w:cs="Arial"/>
        </w:rPr>
        <w:t>,</w:t>
      </w:r>
      <w:r w:rsidR="00A67057" w:rsidRPr="000C7D60">
        <w:rPr>
          <w:sz w:val="23"/>
          <w:szCs w:val="23"/>
        </w:rPr>
        <w:t xml:space="preserve"> on demand to all councils that collectively want it (including those not directly referenced in the Levelling Up White Paper), with all areas announced in the Levelling Up White Paper being approached to discuss their improvement needs,</w:t>
      </w:r>
      <w:r w:rsidR="00BE190A" w:rsidRPr="000C7D60">
        <w:rPr>
          <w:rFonts w:cs="Arial"/>
        </w:rPr>
        <w:t xml:space="preserve"> </w:t>
      </w:r>
      <w:r w:rsidRPr="000C7D60">
        <w:rPr>
          <w:rFonts w:cs="Arial"/>
        </w:rPr>
        <w:t xml:space="preserve">including help to develop a business case and financial modelling to support proposals, advice on developing a communications strategy, or simply trusted and honest feedback. </w:t>
      </w:r>
    </w:p>
    <w:p w14:paraId="097EEE8B" w14:textId="77777777" w:rsidR="00DB6B1A" w:rsidRDefault="00DB6B1A" w:rsidP="00DB6B1A">
      <w:pPr>
        <w:pStyle w:val="ListParagraph"/>
        <w:ind w:left="360"/>
      </w:pPr>
    </w:p>
    <w:bookmarkEnd w:id="1"/>
    <w:p w14:paraId="2CF13C9F" w14:textId="77777777" w:rsidR="004558C1" w:rsidRPr="004558C1" w:rsidRDefault="004558C1" w:rsidP="004558C1">
      <w:pPr>
        <w:spacing w:line="259" w:lineRule="auto"/>
        <w:rPr>
          <w:rFonts w:cs="Arial"/>
        </w:rPr>
      </w:pPr>
      <w:r w:rsidRPr="004558C1">
        <w:rPr>
          <w:rFonts w:cs="Arial"/>
          <w:b/>
          <w:bCs/>
        </w:rPr>
        <w:t>Levelling Up Support</w:t>
      </w:r>
    </w:p>
    <w:p w14:paraId="1A56EB87" w14:textId="0DDB5226" w:rsidR="004F5DCD" w:rsidRPr="004F5DCD" w:rsidRDefault="00E84A84" w:rsidP="004F5DCD">
      <w:pPr>
        <w:pStyle w:val="ListParagraph"/>
        <w:numPr>
          <w:ilvl w:val="0"/>
          <w:numId w:val="3"/>
        </w:numPr>
        <w:spacing w:line="259" w:lineRule="auto"/>
        <w:rPr>
          <w:rFonts w:cs="Arial"/>
        </w:rPr>
      </w:pPr>
      <w:r>
        <w:rPr>
          <w:rFonts w:cs="Arial"/>
        </w:rPr>
        <w:t>Following extensive engagement with c</w:t>
      </w:r>
      <w:r w:rsidR="00126D33" w:rsidRPr="00126D33">
        <w:rPr>
          <w:rFonts w:cs="Arial"/>
        </w:rPr>
        <w:t>ouncils</w:t>
      </w:r>
      <w:r>
        <w:rPr>
          <w:rFonts w:cs="Arial"/>
        </w:rPr>
        <w:t>, we have identified their</w:t>
      </w:r>
      <w:r w:rsidR="00126D33" w:rsidRPr="00126D33">
        <w:rPr>
          <w:rFonts w:cs="Arial"/>
        </w:rPr>
        <w:t xml:space="preserve"> biggest Levelling Up support needs</w:t>
      </w:r>
      <w:r>
        <w:rPr>
          <w:rFonts w:cs="Arial"/>
        </w:rPr>
        <w:t>, which include</w:t>
      </w:r>
      <w:r w:rsidR="00126D33" w:rsidRPr="00126D33">
        <w:rPr>
          <w:rFonts w:cs="Arial"/>
        </w:rPr>
        <w:t xml:space="preserve"> officer capacity, rising demands due to cost of living pressures, and involving communities effectively. For new devolution areas, the transfer of LEP functions is an opportunity to re-design their economic and business support provision. Therefore</w:t>
      </w:r>
      <w:r w:rsidR="004F5DCD">
        <w:rPr>
          <w:rFonts w:cs="Arial"/>
        </w:rPr>
        <w:t>,</w:t>
      </w:r>
      <w:r w:rsidR="00126D33" w:rsidRPr="00126D33">
        <w:rPr>
          <w:rFonts w:cs="Arial"/>
        </w:rPr>
        <w:t xml:space="preserve"> the following new improvement support will be put in place</w:t>
      </w:r>
      <w:r w:rsidR="004F5DCD">
        <w:rPr>
          <w:rFonts w:cs="Arial"/>
        </w:rPr>
        <w:t>:</w:t>
      </w:r>
    </w:p>
    <w:tbl>
      <w:tblPr>
        <w:tblStyle w:val="GridTable1Light"/>
        <w:tblW w:w="5343" w:type="pct"/>
        <w:tblLook w:val="04A0" w:firstRow="1" w:lastRow="0" w:firstColumn="1" w:lastColumn="0" w:noHBand="0" w:noVBand="1"/>
      </w:tblPr>
      <w:tblGrid>
        <w:gridCol w:w="3072"/>
        <w:gridCol w:w="4435"/>
        <w:gridCol w:w="2127"/>
      </w:tblGrid>
      <w:tr w:rsidR="004F5DCD" w:rsidRPr="008733D2" w14:paraId="106D6C4A" w14:textId="77777777" w:rsidTr="004D6F8B">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594" w:type="pct"/>
            <w:hideMark/>
          </w:tcPr>
          <w:p w14:paraId="6AA6189F" w14:textId="77777777" w:rsidR="004F5DCD" w:rsidRPr="008733D2" w:rsidRDefault="004F5DCD" w:rsidP="004D6F8B">
            <w:pPr>
              <w:spacing w:line="259" w:lineRule="auto"/>
              <w:rPr>
                <w:rFonts w:cs="Arial"/>
              </w:rPr>
            </w:pPr>
            <w:r w:rsidRPr="008733D2">
              <w:rPr>
                <w:rFonts w:cs="Arial"/>
              </w:rPr>
              <w:t>Support project</w:t>
            </w:r>
          </w:p>
        </w:tc>
        <w:tc>
          <w:tcPr>
            <w:tcW w:w="2302" w:type="pct"/>
            <w:hideMark/>
          </w:tcPr>
          <w:p w14:paraId="010B7A83" w14:textId="77777777" w:rsidR="004F5DCD" w:rsidRPr="008733D2" w:rsidRDefault="004F5DCD" w:rsidP="004D6F8B">
            <w:pPr>
              <w:spacing w:line="259" w:lineRule="auto"/>
              <w:cnfStyle w:val="100000000000" w:firstRow="1" w:lastRow="0" w:firstColumn="0" w:lastColumn="0" w:oddVBand="0" w:evenVBand="0" w:oddHBand="0" w:evenHBand="0" w:firstRowFirstColumn="0" w:firstRowLastColumn="0" w:lastRowFirstColumn="0" w:lastRowLastColumn="0"/>
              <w:rPr>
                <w:rFonts w:cs="Arial"/>
              </w:rPr>
            </w:pPr>
            <w:r w:rsidRPr="008733D2">
              <w:rPr>
                <w:rFonts w:cs="Arial"/>
              </w:rPr>
              <w:t>Impact / outcomes </w:t>
            </w:r>
          </w:p>
        </w:tc>
        <w:tc>
          <w:tcPr>
            <w:tcW w:w="1104" w:type="pct"/>
            <w:hideMark/>
          </w:tcPr>
          <w:p w14:paraId="30679289" w14:textId="77777777" w:rsidR="004F5DCD" w:rsidRPr="008733D2" w:rsidRDefault="004F5DCD" w:rsidP="004D6F8B">
            <w:pPr>
              <w:spacing w:line="259" w:lineRule="auto"/>
              <w:cnfStyle w:val="100000000000" w:firstRow="1" w:lastRow="0" w:firstColumn="0" w:lastColumn="0" w:oddVBand="0" w:evenVBand="0" w:oddHBand="0" w:evenHBand="0" w:firstRowFirstColumn="0" w:firstRowLastColumn="0" w:lastRowFirstColumn="0" w:lastRowLastColumn="0"/>
              <w:rPr>
                <w:rFonts w:cs="Arial"/>
              </w:rPr>
            </w:pPr>
            <w:r w:rsidRPr="008733D2">
              <w:rPr>
                <w:rFonts w:cs="Arial"/>
              </w:rPr>
              <w:t>Type of support  </w:t>
            </w:r>
          </w:p>
        </w:tc>
      </w:tr>
      <w:tr w:rsidR="004F5DCD" w:rsidRPr="008733D2" w14:paraId="675D2691" w14:textId="77777777" w:rsidTr="004D6F8B">
        <w:trPr>
          <w:trHeight w:val="1211"/>
        </w:trPr>
        <w:tc>
          <w:tcPr>
            <w:cnfStyle w:val="001000000000" w:firstRow="0" w:lastRow="0" w:firstColumn="1" w:lastColumn="0" w:oddVBand="0" w:evenVBand="0" w:oddHBand="0" w:evenHBand="0" w:firstRowFirstColumn="0" w:firstRowLastColumn="0" w:lastRowFirstColumn="0" w:lastRowLastColumn="0"/>
            <w:tcW w:w="1594" w:type="pct"/>
            <w:hideMark/>
          </w:tcPr>
          <w:p w14:paraId="50DFFBAE" w14:textId="77777777" w:rsidR="004F5DCD" w:rsidRPr="008733D2" w:rsidRDefault="004F5DCD" w:rsidP="004F5DCD">
            <w:pPr>
              <w:spacing w:line="259" w:lineRule="auto"/>
              <w:ind w:left="0" w:firstLine="0"/>
              <w:rPr>
                <w:rFonts w:cs="Arial"/>
              </w:rPr>
            </w:pPr>
            <w:r w:rsidRPr="008733D2">
              <w:rPr>
                <w:rFonts w:cs="Arial"/>
              </w:rPr>
              <w:t>Building local government capacity to deliver Levelling Up </w:t>
            </w:r>
          </w:p>
        </w:tc>
        <w:tc>
          <w:tcPr>
            <w:tcW w:w="2302" w:type="pct"/>
            <w:hideMark/>
          </w:tcPr>
          <w:p w14:paraId="3BC72B86" w14:textId="77777777" w:rsidR="004F5DCD" w:rsidRPr="008733D2" w:rsidRDefault="004F5DCD" w:rsidP="004F5DC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 xml:space="preserve">Improved officer capacity to support key elements of LU through deeper understanding of opportunities, improved knowledge sharing and stronger inter-authority networks. </w:t>
            </w:r>
          </w:p>
        </w:tc>
        <w:tc>
          <w:tcPr>
            <w:tcW w:w="1104" w:type="pct"/>
            <w:hideMark/>
          </w:tcPr>
          <w:p w14:paraId="0C0EE4A3" w14:textId="77777777" w:rsidR="00ED1799" w:rsidRDefault="004F5DCD" w:rsidP="004D6F8B">
            <w:pPr>
              <w:spacing w:line="259" w:lineRule="auto"/>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Facilitated</w:t>
            </w:r>
          </w:p>
          <w:p w14:paraId="62DD85A6" w14:textId="1CD5A40C" w:rsidR="004F5DCD" w:rsidRPr="008733D2" w:rsidRDefault="00ED1799" w:rsidP="00ED1799">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r w:rsidR="004F5DCD" w:rsidRPr="008733D2">
              <w:rPr>
                <w:rFonts w:cs="Arial"/>
              </w:rPr>
              <w:t xml:space="preserve">networks, online </w:t>
            </w:r>
            <w:proofErr w:type="gramStart"/>
            <w:r w:rsidR="004F5DCD" w:rsidRPr="008733D2">
              <w:rPr>
                <w:rFonts w:cs="Arial"/>
              </w:rPr>
              <w:t>roundtables</w:t>
            </w:r>
            <w:proofErr w:type="gramEnd"/>
            <w:r w:rsidR="004F5DCD" w:rsidRPr="008733D2">
              <w:rPr>
                <w:rFonts w:cs="Arial"/>
              </w:rPr>
              <w:t xml:space="preserve"> and surgeries  </w:t>
            </w:r>
          </w:p>
        </w:tc>
      </w:tr>
      <w:tr w:rsidR="004F5DCD" w:rsidRPr="008733D2" w14:paraId="5BDD13D4" w14:textId="77777777" w:rsidTr="004D6F8B">
        <w:trPr>
          <w:trHeight w:val="1211"/>
        </w:trPr>
        <w:tc>
          <w:tcPr>
            <w:cnfStyle w:val="001000000000" w:firstRow="0" w:lastRow="0" w:firstColumn="1" w:lastColumn="0" w:oddVBand="0" w:evenVBand="0" w:oddHBand="0" w:evenHBand="0" w:firstRowFirstColumn="0" w:firstRowLastColumn="0" w:lastRowFirstColumn="0" w:lastRowLastColumn="0"/>
            <w:tcW w:w="1594" w:type="pct"/>
            <w:hideMark/>
          </w:tcPr>
          <w:p w14:paraId="7B9D6CC7" w14:textId="0B95D348" w:rsidR="004F5DCD" w:rsidRPr="008733D2" w:rsidRDefault="004F5DCD" w:rsidP="004F5DCD">
            <w:pPr>
              <w:spacing w:line="259" w:lineRule="auto"/>
              <w:ind w:left="0" w:firstLine="0"/>
              <w:rPr>
                <w:rFonts w:cs="Arial"/>
              </w:rPr>
            </w:pPr>
            <w:r>
              <w:rPr>
                <w:rFonts w:cs="Arial"/>
              </w:rPr>
              <w:t>S</w:t>
            </w:r>
            <w:r w:rsidRPr="008733D2">
              <w:rPr>
                <w:rFonts w:cs="Arial"/>
              </w:rPr>
              <w:t>upporting the transition of LEPs to local government </w:t>
            </w:r>
          </w:p>
        </w:tc>
        <w:tc>
          <w:tcPr>
            <w:tcW w:w="2302" w:type="pct"/>
            <w:hideMark/>
          </w:tcPr>
          <w:p w14:paraId="616301E8" w14:textId="77777777" w:rsidR="004F5DCD" w:rsidRPr="008733D2" w:rsidRDefault="004F5DCD" w:rsidP="004F5DC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Councils and emerging CAs are better able to manage a smooth transition of local enterprise partnerships, leading to more streamlined provision of economic support and better strategic engagement with local businesses. </w:t>
            </w:r>
          </w:p>
        </w:tc>
        <w:tc>
          <w:tcPr>
            <w:tcW w:w="1104" w:type="pct"/>
            <w:hideMark/>
          </w:tcPr>
          <w:p w14:paraId="2E4D059D" w14:textId="2E00C2BA" w:rsidR="004F5DCD" w:rsidRPr="008733D2" w:rsidRDefault="004F5DCD" w:rsidP="00ED1799">
            <w:pPr>
              <w:spacing w:line="259" w:lineRule="auto"/>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Good practic</w:t>
            </w:r>
            <w:r w:rsidR="00ED1799">
              <w:rPr>
                <w:rFonts w:cs="Arial"/>
              </w:rPr>
              <w:t xml:space="preserve">e </w:t>
            </w:r>
            <w:r w:rsidRPr="008733D2">
              <w:rPr>
                <w:rFonts w:cs="Arial"/>
              </w:rPr>
              <w:t>guide, webinar  </w:t>
            </w:r>
          </w:p>
        </w:tc>
      </w:tr>
      <w:tr w:rsidR="004F5DCD" w:rsidRPr="008733D2" w14:paraId="6909CB9A" w14:textId="77777777" w:rsidTr="004D6F8B">
        <w:trPr>
          <w:trHeight w:val="1350"/>
        </w:trPr>
        <w:tc>
          <w:tcPr>
            <w:cnfStyle w:val="001000000000" w:firstRow="0" w:lastRow="0" w:firstColumn="1" w:lastColumn="0" w:oddVBand="0" w:evenVBand="0" w:oddHBand="0" w:evenHBand="0" w:firstRowFirstColumn="0" w:firstRowLastColumn="0" w:lastRowFirstColumn="0" w:lastRowLastColumn="0"/>
            <w:tcW w:w="1594" w:type="pct"/>
            <w:hideMark/>
          </w:tcPr>
          <w:p w14:paraId="4B4E83E8" w14:textId="77777777" w:rsidR="004F5DCD" w:rsidRPr="008733D2" w:rsidRDefault="004F5DCD" w:rsidP="004F5DCD">
            <w:pPr>
              <w:spacing w:line="259" w:lineRule="auto"/>
              <w:ind w:left="0" w:firstLine="0"/>
              <w:rPr>
                <w:rFonts w:cs="Arial"/>
              </w:rPr>
            </w:pPr>
            <w:r w:rsidRPr="008733D2">
              <w:rPr>
                <w:rFonts w:cs="Arial"/>
              </w:rPr>
              <w:t>Supporting skills and employment pathfinders </w:t>
            </w:r>
          </w:p>
        </w:tc>
        <w:tc>
          <w:tcPr>
            <w:tcW w:w="2302" w:type="pct"/>
            <w:hideMark/>
          </w:tcPr>
          <w:p w14:paraId="1E273798" w14:textId="77777777" w:rsidR="004F5DCD" w:rsidRPr="008733D2" w:rsidRDefault="004F5DCD" w:rsidP="004F5DC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Pathfinder areas are well placed to maximise the opportunities from LU and share learning for all areas interested in devolution. </w:t>
            </w:r>
          </w:p>
        </w:tc>
        <w:tc>
          <w:tcPr>
            <w:tcW w:w="1104" w:type="pct"/>
            <w:hideMark/>
          </w:tcPr>
          <w:p w14:paraId="618C93AA" w14:textId="77777777" w:rsidR="004F5DCD" w:rsidRPr="008733D2" w:rsidRDefault="004F5DCD" w:rsidP="004D6F8B">
            <w:pPr>
              <w:spacing w:line="259" w:lineRule="auto"/>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Facilitated action learning sets, online content  </w:t>
            </w:r>
          </w:p>
        </w:tc>
      </w:tr>
      <w:tr w:rsidR="004F5DCD" w:rsidRPr="008733D2" w14:paraId="23982D72" w14:textId="77777777" w:rsidTr="004D6F8B">
        <w:trPr>
          <w:trHeight w:val="1211"/>
        </w:trPr>
        <w:tc>
          <w:tcPr>
            <w:cnfStyle w:val="001000000000" w:firstRow="0" w:lastRow="0" w:firstColumn="1" w:lastColumn="0" w:oddVBand="0" w:evenVBand="0" w:oddHBand="0" w:evenHBand="0" w:firstRowFirstColumn="0" w:firstRowLastColumn="0" w:lastRowFirstColumn="0" w:lastRowLastColumn="0"/>
            <w:tcW w:w="1594" w:type="pct"/>
            <w:hideMark/>
          </w:tcPr>
          <w:p w14:paraId="37D4D3E6" w14:textId="77777777" w:rsidR="004F5DCD" w:rsidRPr="008733D2" w:rsidRDefault="004F5DCD" w:rsidP="004F5DCD">
            <w:pPr>
              <w:spacing w:line="259" w:lineRule="auto"/>
              <w:ind w:left="0" w:firstLine="0"/>
              <w:rPr>
                <w:rFonts w:cs="Arial"/>
              </w:rPr>
            </w:pPr>
            <w:r w:rsidRPr="008733D2">
              <w:rPr>
                <w:rFonts w:cs="Arial"/>
              </w:rPr>
              <w:t>Strengthening pride in place through better community engagement</w:t>
            </w:r>
          </w:p>
        </w:tc>
        <w:tc>
          <w:tcPr>
            <w:tcW w:w="2302" w:type="pct"/>
            <w:hideMark/>
          </w:tcPr>
          <w:p w14:paraId="7AD1E92E" w14:textId="77777777" w:rsidR="004F5DCD" w:rsidRPr="008733D2" w:rsidRDefault="004F5DCD" w:rsidP="004F5DC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Councils are better supported to engage their residents in developing LU policies and interventions that meet community need and ambition.   </w:t>
            </w:r>
          </w:p>
        </w:tc>
        <w:tc>
          <w:tcPr>
            <w:tcW w:w="1104" w:type="pct"/>
            <w:hideMark/>
          </w:tcPr>
          <w:p w14:paraId="61EB869D" w14:textId="77777777" w:rsidR="004F5DCD" w:rsidRPr="008733D2" w:rsidRDefault="004F5DCD" w:rsidP="004D6F8B">
            <w:pPr>
              <w:spacing w:line="259" w:lineRule="auto"/>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Peer-led facilitated learning workshops shared across regions </w:t>
            </w:r>
          </w:p>
        </w:tc>
      </w:tr>
      <w:tr w:rsidR="004F5DCD" w:rsidRPr="008733D2" w14:paraId="5B48DC35" w14:textId="77777777" w:rsidTr="004D6F8B">
        <w:trPr>
          <w:trHeight w:val="1639"/>
        </w:trPr>
        <w:tc>
          <w:tcPr>
            <w:cnfStyle w:val="001000000000" w:firstRow="0" w:lastRow="0" w:firstColumn="1" w:lastColumn="0" w:oddVBand="0" w:evenVBand="0" w:oddHBand="0" w:evenHBand="0" w:firstRowFirstColumn="0" w:firstRowLastColumn="0" w:lastRowFirstColumn="0" w:lastRowLastColumn="0"/>
            <w:tcW w:w="1594" w:type="pct"/>
            <w:hideMark/>
          </w:tcPr>
          <w:p w14:paraId="20144449" w14:textId="77777777" w:rsidR="004F5DCD" w:rsidRPr="008733D2" w:rsidRDefault="004F5DCD" w:rsidP="004F5DCD">
            <w:pPr>
              <w:spacing w:line="259" w:lineRule="auto"/>
              <w:ind w:left="0" w:firstLine="0"/>
              <w:rPr>
                <w:rFonts w:cs="Arial"/>
              </w:rPr>
            </w:pPr>
            <w:r w:rsidRPr="008733D2">
              <w:rPr>
                <w:rFonts w:cs="Arial"/>
              </w:rPr>
              <w:t>Supporting councils to remove barriers to prosperity</w:t>
            </w:r>
          </w:p>
        </w:tc>
        <w:tc>
          <w:tcPr>
            <w:tcW w:w="2302" w:type="pct"/>
            <w:hideMark/>
          </w:tcPr>
          <w:p w14:paraId="580458B4" w14:textId="59E62D69" w:rsidR="004F5DCD" w:rsidRPr="008733D2" w:rsidRDefault="004F5DCD" w:rsidP="004F5DC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Councils can commit meaningfully to the cross-Government debt strategy and respond to DLUHC guidance on improving council tax recovery. Councils can apply behavioural insights to identify and support people at risk of debt. </w:t>
            </w:r>
          </w:p>
        </w:tc>
        <w:tc>
          <w:tcPr>
            <w:tcW w:w="1104" w:type="pct"/>
            <w:hideMark/>
          </w:tcPr>
          <w:p w14:paraId="39CBD220" w14:textId="77777777" w:rsidR="004F5DCD" w:rsidRPr="008733D2" w:rsidRDefault="004F5DCD" w:rsidP="004D6F8B">
            <w:pPr>
              <w:spacing w:line="259" w:lineRule="auto"/>
              <w:cnfStyle w:val="000000000000" w:firstRow="0" w:lastRow="0" w:firstColumn="0" w:lastColumn="0" w:oddVBand="0" w:evenVBand="0" w:oddHBand="0" w:evenHBand="0" w:firstRowFirstColumn="0" w:firstRowLastColumn="0" w:lastRowFirstColumn="0" w:lastRowLastColumn="0"/>
              <w:rPr>
                <w:rFonts w:cs="Arial"/>
              </w:rPr>
            </w:pPr>
            <w:r w:rsidRPr="008733D2">
              <w:rPr>
                <w:rFonts w:cs="Arial"/>
              </w:rPr>
              <w:t>Maturity framework and webinar </w:t>
            </w:r>
          </w:p>
        </w:tc>
      </w:tr>
    </w:tbl>
    <w:p w14:paraId="0CE5A8B6" w14:textId="77777777" w:rsidR="00786614" w:rsidRDefault="00786614" w:rsidP="00786614">
      <w:pPr>
        <w:ind w:left="0" w:firstLine="0"/>
        <w:rPr>
          <w:b/>
          <w:bCs/>
        </w:rPr>
      </w:pPr>
    </w:p>
    <w:p w14:paraId="61861213" w14:textId="77777777" w:rsidR="00786614" w:rsidRPr="003F4309" w:rsidRDefault="00786614" w:rsidP="00786614">
      <w:pPr>
        <w:ind w:left="0" w:firstLine="0"/>
        <w:rPr>
          <w:b/>
          <w:bCs/>
        </w:rPr>
      </w:pPr>
      <w:r>
        <w:rPr>
          <w:b/>
          <w:bCs/>
        </w:rPr>
        <w:t>Support across all programme areas</w:t>
      </w:r>
    </w:p>
    <w:p w14:paraId="6F705970" w14:textId="77777777" w:rsidR="00786614" w:rsidRDefault="00786614" w:rsidP="00786614">
      <w:pPr>
        <w:pStyle w:val="ListParagraph"/>
        <w:numPr>
          <w:ilvl w:val="0"/>
          <w:numId w:val="3"/>
        </w:numPr>
      </w:pPr>
      <w:r w:rsidRPr="00CB3D1B">
        <w:t xml:space="preserve">Levelling Up agenda cuts across multiple improvement programmes and </w:t>
      </w:r>
      <w:r>
        <w:t xml:space="preserve">support offers. This includes but is not limited to the following support: </w:t>
      </w:r>
    </w:p>
    <w:p w14:paraId="4424052A"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Political and officer leadership development</w:t>
      </w:r>
    </w:p>
    <w:p w14:paraId="34E6F041"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Peer challenges</w:t>
      </w:r>
    </w:p>
    <w:p w14:paraId="1A9BB8D8"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Governance support</w:t>
      </w:r>
    </w:p>
    <w:p w14:paraId="630EF807"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 xml:space="preserve">Economic growth advisers, e-learning, </w:t>
      </w:r>
      <w:proofErr w:type="gramStart"/>
      <w:r w:rsidRPr="008733D2">
        <w:rPr>
          <w:rFonts w:cs="Arial"/>
        </w:rPr>
        <w:t>events</w:t>
      </w:r>
      <w:proofErr w:type="gramEnd"/>
      <w:r w:rsidRPr="008733D2">
        <w:rPr>
          <w:rFonts w:cs="Arial"/>
        </w:rPr>
        <w:t xml:space="preserve"> and online hub</w:t>
      </w:r>
    </w:p>
    <w:p w14:paraId="504E2246"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Procurement support, including on social value</w:t>
      </w:r>
    </w:p>
    <w:p w14:paraId="6085A953"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Workforce planning support and broader HR and workforce support and advice</w:t>
      </w:r>
    </w:p>
    <w:p w14:paraId="02BDC373"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Net zero support offer</w:t>
      </w:r>
    </w:p>
    <w:p w14:paraId="44FFD4A4"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Apprenticeship support</w:t>
      </w:r>
    </w:p>
    <w:p w14:paraId="258D6475"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Community engagement and comms support</w:t>
      </w:r>
    </w:p>
    <w:p w14:paraId="3C53B4EB"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 xml:space="preserve">Equality, </w:t>
      </w:r>
      <w:proofErr w:type="gramStart"/>
      <w:r w:rsidRPr="008733D2">
        <w:rPr>
          <w:rFonts w:cs="Arial"/>
        </w:rPr>
        <w:t>diversity</w:t>
      </w:r>
      <w:proofErr w:type="gramEnd"/>
      <w:r w:rsidRPr="008733D2">
        <w:rPr>
          <w:rFonts w:cs="Arial"/>
        </w:rPr>
        <w:t xml:space="preserve"> and inclusion offer</w:t>
      </w:r>
    </w:p>
    <w:p w14:paraId="72508218"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Place narrative offer</w:t>
      </w:r>
    </w:p>
    <w:p w14:paraId="159BD40C"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Housing Advisors Programme and associated support</w:t>
      </w:r>
    </w:p>
    <w:p w14:paraId="1622979E"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Building safety support</w:t>
      </w:r>
    </w:p>
    <w:p w14:paraId="481F5846"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Support around Culture and Sport (not funded by t</w:t>
      </w:r>
      <w:r w:rsidR="00786614">
        <w:rPr>
          <w:rFonts w:cs="Arial"/>
        </w:rPr>
        <w:t>he main DLUHC</w:t>
      </w:r>
      <w:r w:rsidRPr="008733D2">
        <w:rPr>
          <w:rFonts w:cs="Arial"/>
        </w:rPr>
        <w:t xml:space="preserve"> grant)</w:t>
      </w:r>
    </w:p>
    <w:p w14:paraId="758A4108" w14:textId="77777777" w:rsidR="004D6F8B" w:rsidRPr="008733D2" w:rsidRDefault="00E84A84" w:rsidP="00786614">
      <w:pPr>
        <w:numPr>
          <w:ilvl w:val="0"/>
          <w:numId w:val="13"/>
        </w:numPr>
        <w:spacing w:after="0" w:line="259" w:lineRule="auto"/>
        <w:ind w:left="714" w:hanging="357"/>
        <w:rPr>
          <w:rFonts w:cs="Arial"/>
        </w:rPr>
      </w:pPr>
      <w:r w:rsidRPr="008733D2">
        <w:rPr>
          <w:rFonts w:cs="Arial"/>
        </w:rPr>
        <w:t xml:space="preserve">Digital Connectivity and Cyber support (not funded by </w:t>
      </w:r>
      <w:r w:rsidR="00786614">
        <w:rPr>
          <w:rFonts w:cs="Arial"/>
        </w:rPr>
        <w:t>main DLUHC</w:t>
      </w:r>
      <w:r w:rsidRPr="008733D2">
        <w:rPr>
          <w:rFonts w:cs="Arial"/>
        </w:rPr>
        <w:t xml:space="preserve"> grant)</w:t>
      </w:r>
    </w:p>
    <w:p w14:paraId="62032FDC" w14:textId="77777777" w:rsidR="00786614" w:rsidRDefault="00786614" w:rsidP="00805B1C">
      <w:pPr>
        <w:rPr>
          <w:b/>
          <w:bCs/>
          <w:lang w:eastAsia="en-GB"/>
        </w:rPr>
      </w:pPr>
    </w:p>
    <w:p w14:paraId="6D2274D1" w14:textId="50763605" w:rsidR="00805B1C" w:rsidRPr="00371422" w:rsidRDefault="00805B1C" w:rsidP="00805B1C">
      <w:pPr>
        <w:rPr>
          <w:lang w:eastAsia="en-GB"/>
        </w:rPr>
      </w:pPr>
      <w:r w:rsidRPr="00371422">
        <w:rPr>
          <w:b/>
          <w:bCs/>
          <w:lang w:eastAsia="en-GB"/>
        </w:rPr>
        <w:t xml:space="preserve">Implications for Wales </w:t>
      </w:r>
    </w:p>
    <w:p w14:paraId="473449A0" w14:textId="28D1B3BC" w:rsidR="007F66C2" w:rsidRPr="00FE15F2" w:rsidRDefault="00371422" w:rsidP="00FE15F2">
      <w:pPr>
        <w:pStyle w:val="ListParagraph"/>
        <w:numPr>
          <w:ilvl w:val="0"/>
          <w:numId w:val="3"/>
        </w:numPr>
        <w:rPr>
          <w:lang w:eastAsia="en-GB"/>
        </w:rPr>
      </w:pPr>
      <w:r w:rsidRPr="00371422">
        <w:rPr>
          <w:lang w:eastAsia="en-GB"/>
        </w:rPr>
        <w:t xml:space="preserve">None – </w:t>
      </w:r>
      <w:r w:rsidR="00786614">
        <w:rPr>
          <w:lang w:eastAsia="en-GB"/>
        </w:rPr>
        <w:t xml:space="preserve">the devolution and Levelling Up agenda only affects areas in England. </w:t>
      </w:r>
    </w:p>
    <w:p w14:paraId="749382A4" w14:textId="60C380E2" w:rsidR="00143871" w:rsidRPr="00143871" w:rsidRDefault="00143871" w:rsidP="00143871">
      <w:pPr>
        <w:ind w:left="0" w:firstLine="0"/>
        <w:rPr>
          <w:b/>
          <w:bCs/>
          <w:lang w:eastAsia="en-GB"/>
        </w:rPr>
      </w:pPr>
      <w:r w:rsidRPr="00143871">
        <w:rPr>
          <w:b/>
          <w:bCs/>
          <w:lang w:eastAsia="en-GB"/>
        </w:rPr>
        <w:t>Equalities implications</w:t>
      </w:r>
    </w:p>
    <w:p w14:paraId="1A494FE8" w14:textId="284AC4B1" w:rsidR="00CC6E3C" w:rsidRDefault="00CC6E3C" w:rsidP="00A6394C">
      <w:pPr>
        <w:pStyle w:val="ListParagraph"/>
        <w:numPr>
          <w:ilvl w:val="0"/>
          <w:numId w:val="3"/>
        </w:numPr>
        <w:rPr>
          <w:lang w:eastAsia="en-GB"/>
        </w:rPr>
      </w:pPr>
      <w:r>
        <w:rPr>
          <w:lang w:eastAsia="en-GB"/>
        </w:rPr>
        <w:t xml:space="preserve">Positive </w:t>
      </w:r>
      <w:r w:rsidR="00A6394C">
        <w:rPr>
          <w:lang w:eastAsia="en-GB"/>
        </w:rPr>
        <w:t xml:space="preserve">– </w:t>
      </w:r>
      <w:r w:rsidR="00143871">
        <w:rPr>
          <w:lang w:eastAsia="en-GB"/>
        </w:rPr>
        <w:t xml:space="preserve">the </w:t>
      </w:r>
      <w:r w:rsidR="00203993">
        <w:rPr>
          <w:lang w:eastAsia="en-GB"/>
        </w:rPr>
        <w:t xml:space="preserve">programme aims to help reduce inequalities between different areas of England and address challenges in terms of access to </w:t>
      </w:r>
      <w:r w:rsidR="00AF04D9">
        <w:rPr>
          <w:lang w:eastAsia="en-GB"/>
        </w:rPr>
        <w:t xml:space="preserve">skills and employment opportunities for all. Specific support will be put in place to </w:t>
      </w:r>
      <w:r w:rsidR="00EE00A8">
        <w:rPr>
          <w:lang w:eastAsia="en-GB"/>
        </w:rPr>
        <w:t xml:space="preserve">help councils </w:t>
      </w:r>
      <w:r w:rsidR="00A6394C" w:rsidRPr="00A6394C">
        <w:rPr>
          <w:rFonts w:cs="Arial"/>
        </w:rPr>
        <w:t>engage their residents in developing LU policies and interventions that meet community need and ambition.   </w:t>
      </w:r>
    </w:p>
    <w:p w14:paraId="5D05BCAD" w14:textId="64CC72B9" w:rsidR="00805B1C" w:rsidRPr="00371422" w:rsidRDefault="00805B1C" w:rsidP="00C25D42">
      <w:pPr>
        <w:ind w:left="0" w:firstLine="0"/>
        <w:rPr>
          <w:b/>
          <w:bCs/>
          <w:lang w:eastAsia="en-GB"/>
        </w:rPr>
      </w:pPr>
      <w:r w:rsidRPr="00371422">
        <w:rPr>
          <w:b/>
          <w:bCs/>
          <w:lang w:eastAsia="en-GB"/>
        </w:rPr>
        <w:t>Financial implications</w:t>
      </w:r>
    </w:p>
    <w:p w14:paraId="558D7701" w14:textId="5FE28F30" w:rsidR="00315ECE" w:rsidRPr="00371422" w:rsidRDefault="00A6394C" w:rsidP="00C25D42">
      <w:pPr>
        <w:pStyle w:val="ListParagraph"/>
        <w:numPr>
          <w:ilvl w:val="0"/>
          <w:numId w:val="3"/>
        </w:numPr>
        <w:rPr>
          <w:lang w:eastAsia="en-GB"/>
        </w:rPr>
      </w:pPr>
      <w:r>
        <w:rPr>
          <w:lang w:eastAsia="en-GB"/>
        </w:rPr>
        <w:t xml:space="preserve">The programme of support is funded through the </w:t>
      </w:r>
      <w:r w:rsidR="00054F57">
        <w:rPr>
          <w:lang w:eastAsia="en-GB"/>
        </w:rPr>
        <w:t xml:space="preserve">2022/23 </w:t>
      </w:r>
      <w:r>
        <w:rPr>
          <w:lang w:eastAsia="en-GB"/>
        </w:rPr>
        <w:t>DLUHC Grant</w:t>
      </w:r>
      <w:r w:rsidR="00054F57">
        <w:rPr>
          <w:lang w:eastAsia="en-GB"/>
        </w:rPr>
        <w:t xml:space="preserve">. </w:t>
      </w:r>
    </w:p>
    <w:p w14:paraId="687509E0" w14:textId="7336650B" w:rsidR="007771CB" w:rsidRDefault="004D6F8B" w:rsidP="001B51E9">
      <w:sdt>
        <w:sdtPr>
          <w:rPr>
            <w:rStyle w:val="Style6"/>
          </w:rPr>
          <w:alias w:val="Next steps"/>
          <w:tag w:val="Next steps"/>
          <w:id w:val="538939935"/>
          <w:placeholder>
            <w:docPart w:val="A4555172851F49689CE31FEDC21581DB"/>
          </w:placeholder>
        </w:sdtPr>
        <w:sdtContent>
          <w:r w:rsidR="009B6F95" w:rsidRPr="009B1AA8">
            <w:rPr>
              <w:rStyle w:val="Style6"/>
            </w:rPr>
            <w:t>Next steps</w:t>
          </w:r>
        </w:sdtContent>
      </w:sdt>
    </w:p>
    <w:p w14:paraId="4B2F1F42" w14:textId="71658145" w:rsidR="00EC6F40" w:rsidRPr="00FE15F2" w:rsidRDefault="00AF21DD" w:rsidP="00FE15F2">
      <w:pPr>
        <w:pStyle w:val="ListParagraph"/>
        <w:numPr>
          <w:ilvl w:val="0"/>
          <w:numId w:val="3"/>
        </w:numPr>
        <w:rPr>
          <w:b/>
          <w:bCs/>
        </w:rPr>
      </w:pPr>
      <w:r>
        <w:t xml:space="preserve">The </w:t>
      </w:r>
      <w:r w:rsidR="00FE15F2">
        <w:t xml:space="preserve">LGA will continue to deliver a wide-ranging programme of support to councils on devolution and Levelling Up. </w:t>
      </w:r>
    </w:p>
    <w:sectPr w:rsidR="00EC6F40" w:rsidRPr="00FE15F2" w:rsidSect="009C5B7B">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4F6E" w14:textId="77777777" w:rsidR="004D6F8B" w:rsidRPr="00C803F3" w:rsidRDefault="004D6F8B" w:rsidP="00C803F3">
      <w:r>
        <w:separator/>
      </w:r>
    </w:p>
  </w:endnote>
  <w:endnote w:type="continuationSeparator" w:id="0">
    <w:p w14:paraId="6350A1BC" w14:textId="77777777" w:rsidR="004D6F8B" w:rsidRPr="00C803F3" w:rsidRDefault="004D6F8B" w:rsidP="00C803F3">
      <w:r>
        <w:continuationSeparator/>
      </w:r>
    </w:p>
  </w:endnote>
  <w:endnote w:type="continuationNotice" w:id="1">
    <w:p w14:paraId="34BE812C" w14:textId="77777777" w:rsidR="004D6F8B" w:rsidRDefault="004D6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830C" w14:textId="77777777" w:rsidR="009C5B7B" w:rsidRPr="001C1540" w:rsidRDefault="009C5B7B" w:rsidP="009C5B7B">
    <w:pPr>
      <w:pStyle w:val="Address"/>
      <w:ind w:left="-709" w:right="-1180"/>
      <w:rPr>
        <w:rFonts w:ascii="Arial" w:hAnsi="Arial" w:cs="Arial"/>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sz w:val="15"/>
          <w:szCs w:val="15"/>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sz w:val="15"/>
          <w:szCs w:val="15"/>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w:t>
    </w:r>
    <w:r>
      <w:rPr>
        <w:rFonts w:ascii="Arial" w:hAnsi="Arial" w:cs="Arial"/>
        <w:sz w:val="15"/>
        <w:szCs w:val="15"/>
      </w:rPr>
      <w:t xml:space="preserve"> </w:t>
    </w:r>
    <w:r w:rsidRPr="004755BE">
      <w:rPr>
        <w:rFonts w:ascii="Arial" w:hAnsi="Arial" w:cs="Arial"/>
        <w:sz w:val="15"/>
        <w:szCs w:val="15"/>
      </w:rPr>
      <w:t xml:space="preserve">Lloyd </w:t>
    </w:r>
    <w:r w:rsidRPr="004755BE">
      <w:rPr>
        <w:rFonts w:ascii="Arial" w:hAnsi="Arial" w:cs="Arial"/>
        <w:sz w:val="15"/>
        <w:szCs w:val="15"/>
      </w:rPr>
      <w:br/>
      <w:t xml:space="preserve">Local Government Association </w:t>
    </w:r>
    <w:r w:rsidRPr="004755BE">
      <w:rPr>
        <w:rFonts w:ascii="Arial" w:hAnsi="Arial" w:cs="Arial"/>
        <w:noProof/>
        <w:sz w:val="15"/>
        <w:szCs w:val="15"/>
      </w:rPr>
      <w:t xml:space="preserve">company number </w:t>
    </w:r>
    <w:proofErr w:type="gramStart"/>
    <w:r w:rsidRPr="004755BE">
      <w:rPr>
        <w:rFonts w:ascii="Arial" w:hAnsi="Arial" w:cs="Arial"/>
        <w:noProof/>
        <w:sz w:val="15"/>
        <w:szCs w:val="15"/>
      </w:rPr>
      <w:t>11177145</w:t>
    </w:r>
    <w:r w:rsidRPr="004755BE">
      <w:rPr>
        <w:rFonts w:ascii="Arial" w:hAnsi="Arial" w:cs="Arial"/>
        <w:sz w:val="15"/>
        <w:szCs w:val="15"/>
      </w:rPr>
      <w:t>  Improvement</w:t>
    </w:r>
    <w:proofErr w:type="gramEnd"/>
    <w:r w:rsidRPr="004755BE">
      <w:rPr>
        <w:rFonts w:ascii="Arial" w:hAnsi="Arial" w:cs="Arial"/>
        <w:sz w:val="15"/>
        <w:szCs w:val="15"/>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7412" w14:textId="77777777" w:rsidR="004D6F8B" w:rsidRPr="00C803F3" w:rsidRDefault="004D6F8B" w:rsidP="00C803F3">
      <w:r>
        <w:separator/>
      </w:r>
    </w:p>
  </w:footnote>
  <w:footnote w:type="continuationSeparator" w:id="0">
    <w:p w14:paraId="77C12CAD" w14:textId="77777777" w:rsidR="004D6F8B" w:rsidRPr="00C803F3" w:rsidRDefault="004D6F8B" w:rsidP="00C803F3">
      <w:r>
        <w:continuationSeparator/>
      </w:r>
    </w:p>
  </w:footnote>
  <w:footnote w:type="continuationNotice" w:id="1">
    <w:p w14:paraId="38AD9C47" w14:textId="77777777" w:rsidR="004D6F8B" w:rsidRDefault="004D6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7AC6" w14:textId="77777777" w:rsidR="000528D5" w:rsidRDefault="000528D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528D5" w:rsidRPr="00C25CA7" w14:paraId="30858CDA" w14:textId="77777777" w:rsidTr="000F69FB">
      <w:trPr>
        <w:trHeight w:val="416"/>
      </w:trPr>
      <w:tc>
        <w:tcPr>
          <w:tcW w:w="5812" w:type="dxa"/>
          <w:vMerge w:val="restart"/>
        </w:tcPr>
        <w:p w14:paraId="0B3FC3B1" w14:textId="77777777" w:rsidR="000528D5" w:rsidRPr="00C803F3" w:rsidRDefault="000528D5" w:rsidP="00C803F3">
          <w:r w:rsidRPr="00C803F3">
            <w:rPr>
              <w:noProof/>
              <w:lang w:eastAsia="en-GB"/>
            </w:rPr>
            <w:drawing>
              <wp:inline distT="0" distB="0" distL="0" distR="0" wp14:anchorId="0256D91B" wp14:editId="58D38FDD">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284314E6" w14:textId="0DCA9DFF" w:rsidR="000528D5" w:rsidRPr="00C803F3" w:rsidRDefault="000528D5" w:rsidP="00C95837">
              <w:r w:rsidRPr="003E1E6A">
                <w:rPr>
                  <w:b/>
                </w:rPr>
                <w:t>Improvement and Innovation Board</w:t>
              </w:r>
            </w:p>
          </w:tc>
        </w:sdtContent>
      </w:sdt>
    </w:tr>
    <w:tr w:rsidR="000528D5" w14:paraId="0BC35776" w14:textId="77777777" w:rsidTr="000F69FB">
      <w:trPr>
        <w:trHeight w:val="406"/>
      </w:trPr>
      <w:tc>
        <w:tcPr>
          <w:tcW w:w="5812" w:type="dxa"/>
          <w:vMerge/>
        </w:tcPr>
        <w:p w14:paraId="0E79641C" w14:textId="77777777" w:rsidR="000528D5" w:rsidRPr="00A627DD" w:rsidRDefault="000528D5" w:rsidP="00C803F3"/>
      </w:tc>
      <w:tc>
        <w:tcPr>
          <w:tcW w:w="4106" w:type="dxa"/>
        </w:tcPr>
        <w:sdt>
          <w:sdtPr>
            <w:alias w:val="Date"/>
            <w:tag w:val="Date"/>
            <w:id w:val="-488943452"/>
            <w:placeholder>
              <w:docPart w:val="DC36D9B85A214F14AB68618A90760C36"/>
            </w:placeholder>
            <w:date w:fullDate="2022-07-28T00:00:00Z">
              <w:dateFormat w:val="dd MMMM yyyy"/>
              <w:lid w:val="en-GB"/>
              <w:storeMappedDataAs w:val="dateTime"/>
              <w:calendar w:val="gregorian"/>
            </w:date>
          </w:sdtPr>
          <w:sdtContent>
            <w:p w14:paraId="620242A3" w14:textId="6A43E839" w:rsidR="000528D5" w:rsidRPr="00C803F3" w:rsidRDefault="00686963" w:rsidP="00212778">
              <w:pPr>
                <w:ind w:left="0" w:firstLine="0"/>
              </w:pPr>
              <w:r>
                <w:t>28</w:t>
              </w:r>
              <w:r w:rsidR="00212778">
                <w:t xml:space="preserve"> July 2022</w:t>
              </w:r>
            </w:p>
          </w:sdtContent>
        </w:sdt>
      </w:tc>
    </w:tr>
    <w:tr w:rsidR="000528D5" w:rsidRPr="00C25CA7" w14:paraId="3C7C1D80" w14:textId="77777777" w:rsidTr="000F69FB">
      <w:trPr>
        <w:trHeight w:val="89"/>
      </w:trPr>
      <w:tc>
        <w:tcPr>
          <w:tcW w:w="5812" w:type="dxa"/>
          <w:vMerge/>
        </w:tcPr>
        <w:p w14:paraId="5FFF0116" w14:textId="77777777" w:rsidR="000528D5" w:rsidRPr="00A627DD" w:rsidRDefault="000528D5" w:rsidP="00C803F3"/>
      </w:tc>
      <w:tc>
        <w:tcPr>
          <w:tcW w:w="4106" w:type="dxa"/>
        </w:tcPr>
        <w:p w14:paraId="54D9A42C" w14:textId="40D6A279" w:rsidR="000528D5" w:rsidRPr="00C803F3" w:rsidRDefault="000528D5" w:rsidP="00C803F3"/>
      </w:tc>
    </w:tr>
  </w:tbl>
  <w:p w14:paraId="00849876" w14:textId="77777777" w:rsidR="000528D5" w:rsidRDefault="0005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9683F"/>
    <w:multiLevelType w:val="hybridMultilevel"/>
    <w:tmpl w:val="CEE36B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65E1B"/>
    <w:multiLevelType w:val="hybridMultilevel"/>
    <w:tmpl w:val="1AC8F4D4"/>
    <w:lvl w:ilvl="0" w:tplc="EB5A9EBE">
      <w:start w:val="1"/>
      <w:numFmt w:val="bullet"/>
      <w:lvlText w:val="•"/>
      <w:lvlJc w:val="left"/>
      <w:pPr>
        <w:tabs>
          <w:tab w:val="num" w:pos="720"/>
        </w:tabs>
        <w:ind w:left="720" w:hanging="360"/>
      </w:pPr>
      <w:rPr>
        <w:rFonts w:ascii="Times New Roman" w:hAnsi="Times New Roman" w:hint="default"/>
      </w:rPr>
    </w:lvl>
    <w:lvl w:ilvl="1" w:tplc="494EA592" w:tentative="1">
      <w:start w:val="1"/>
      <w:numFmt w:val="bullet"/>
      <w:lvlText w:val="•"/>
      <w:lvlJc w:val="left"/>
      <w:pPr>
        <w:tabs>
          <w:tab w:val="num" w:pos="1440"/>
        </w:tabs>
        <w:ind w:left="1440" w:hanging="360"/>
      </w:pPr>
      <w:rPr>
        <w:rFonts w:ascii="Times New Roman" w:hAnsi="Times New Roman" w:hint="default"/>
      </w:rPr>
    </w:lvl>
    <w:lvl w:ilvl="2" w:tplc="4BD48D46" w:tentative="1">
      <w:start w:val="1"/>
      <w:numFmt w:val="bullet"/>
      <w:lvlText w:val="•"/>
      <w:lvlJc w:val="left"/>
      <w:pPr>
        <w:tabs>
          <w:tab w:val="num" w:pos="2160"/>
        </w:tabs>
        <w:ind w:left="2160" w:hanging="360"/>
      </w:pPr>
      <w:rPr>
        <w:rFonts w:ascii="Times New Roman" w:hAnsi="Times New Roman" w:hint="default"/>
      </w:rPr>
    </w:lvl>
    <w:lvl w:ilvl="3" w:tplc="36DA97FC" w:tentative="1">
      <w:start w:val="1"/>
      <w:numFmt w:val="bullet"/>
      <w:lvlText w:val="•"/>
      <w:lvlJc w:val="left"/>
      <w:pPr>
        <w:tabs>
          <w:tab w:val="num" w:pos="2880"/>
        </w:tabs>
        <w:ind w:left="2880" w:hanging="360"/>
      </w:pPr>
      <w:rPr>
        <w:rFonts w:ascii="Times New Roman" w:hAnsi="Times New Roman" w:hint="default"/>
      </w:rPr>
    </w:lvl>
    <w:lvl w:ilvl="4" w:tplc="07968438" w:tentative="1">
      <w:start w:val="1"/>
      <w:numFmt w:val="bullet"/>
      <w:lvlText w:val="•"/>
      <w:lvlJc w:val="left"/>
      <w:pPr>
        <w:tabs>
          <w:tab w:val="num" w:pos="3600"/>
        </w:tabs>
        <w:ind w:left="3600" w:hanging="360"/>
      </w:pPr>
      <w:rPr>
        <w:rFonts w:ascii="Times New Roman" w:hAnsi="Times New Roman" w:hint="default"/>
      </w:rPr>
    </w:lvl>
    <w:lvl w:ilvl="5" w:tplc="ED8A49A8" w:tentative="1">
      <w:start w:val="1"/>
      <w:numFmt w:val="bullet"/>
      <w:lvlText w:val="•"/>
      <w:lvlJc w:val="left"/>
      <w:pPr>
        <w:tabs>
          <w:tab w:val="num" w:pos="4320"/>
        </w:tabs>
        <w:ind w:left="4320" w:hanging="360"/>
      </w:pPr>
      <w:rPr>
        <w:rFonts w:ascii="Times New Roman" w:hAnsi="Times New Roman" w:hint="default"/>
      </w:rPr>
    </w:lvl>
    <w:lvl w:ilvl="6" w:tplc="1486DF9A" w:tentative="1">
      <w:start w:val="1"/>
      <w:numFmt w:val="bullet"/>
      <w:lvlText w:val="•"/>
      <w:lvlJc w:val="left"/>
      <w:pPr>
        <w:tabs>
          <w:tab w:val="num" w:pos="5040"/>
        </w:tabs>
        <w:ind w:left="5040" w:hanging="360"/>
      </w:pPr>
      <w:rPr>
        <w:rFonts w:ascii="Times New Roman" w:hAnsi="Times New Roman" w:hint="default"/>
      </w:rPr>
    </w:lvl>
    <w:lvl w:ilvl="7" w:tplc="CEA4E4CC" w:tentative="1">
      <w:start w:val="1"/>
      <w:numFmt w:val="bullet"/>
      <w:lvlText w:val="•"/>
      <w:lvlJc w:val="left"/>
      <w:pPr>
        <w:tabs>
          <w:tab w:val="num" w:pos="5760"/>
        </w:tabs>
        <w:ind w:left="5760" w:hanging="360"/>
      </w:pPr>
      <w:rPr>
        <w:rFonts w:ascii="Times New Roman" w:hAnsi="Times New Roman" w:hint="default"/>
      </w:rPr>
    </w:lvl>
    <w:lvl w:ilvl="8" w:tplc="E8C43D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0A3E1C"/>
    <w:multiLevelType w:val="hybridMultilevel"/>
    <w:tmpl w:val="DC86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C7CA"/>
    <w:multiLevelType w:val="hybridMultilevel"/>
    <w:tmpl w:val="8150E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1D4D48"/>
    <w:multiLevelType w:val="multilevel"/>
    <w:tmpl w:val="FE6AF5C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93772B"/>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94CB7"/>
    <w:multiLevelType w:val="hybridMultilevel"/>
    <w:tmpl w:val="B49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5F9F"/>
    <w:multiLevelType w:val="hybridMultilevel"/>
    <w:tmpl w:val="66A0903C"/>
    <w:lvl w:ilvl="0" w:tplc="BF9EC2E4">
      <w:start w:val="1"/>
      <w:numFmt w:val="bullet"/>
      <w:lvlText w:val="•"/>
      <w:lvlJc w:val="left"/>
      <w:pPr>
        <w:tabs>
          <w:tab w:val="num" w:pos="720"/>
        </w:tabs>
        <w:ind w:left="720" w:hanging="360"/>
      </w:pPr>
      <w:rPr>
        <w:rFonts w:ascii="Times New Roman" w:hAnsi="Times New Roman" w:hint="default"/>
      </w:rPr>
    </w:lvl>
    <w:lvl w:ilvl="1" w:tplc="5254BD50">
      <w:numFmt w:val="bullet"/>
      <w:lvlText w:val="•"/>
      <w:lvlJc w:val="left"/>
      <w:pPr>
        <w:tabs>
          <w:tab w:val="num" w:pos="1440"/>
        </w:tabs>
        <w:ind w:left="1440" w:hanging="360"/>
      </w:pPr>
      <w:rPr>
        <w:rFonts w:ascii="Times New Roman" w:hAnsi="Times New Roman" w:hint="default"/>
      </w:rPr>
    </w:lvl>
    <w:lvl w:ilvl="2" w:tplc="442E1ED6" w:tentative="1">
      <w:start w:val="1"/>
      <w:numFmt w:val="bullet"/>
      <w:lvlText w:val="•"/>
      <w:lvlJc w:val="left"/>
      <w:pPr>
        <w:tabs>
          <w:tab w:val="num" w:pos="2160"/>
        </w:tabs>
        <w:ind w:left="2160" w:hanging="360"/>
      </w:pPr>
      <w:rPr>
        <w:rFonts w:ascii="Times New Roman" w:hAnsi="Times New Roman" w:hint="default"/>
      </w:rPr>
    </w:lvl>
    <w:lvl w:ilvl="3" w:tplc="608E8248" w:tentative="1">
      <w:start w:val="1"/>
      <w:numFmt w:val="bullet"/>
      <w:lvlText w:val="•"/>
      <w:lvlJc w:val="left"/>
      <w:pPr>
        <w:tabs>
          <w:tab w:val="num" w:pos="2880"/>
        </w:tabs>
        <w:ind w:left="2880" w:hanging="360"/>
      </w:pPr>
      <w:rPr>
        <w:rFonts w:ascii="Times New Roman" w:hAnsi="Times New Roman" w:hint="default"/>
      </w:rPr>
    </w:lvl>
    <w:lvl w:ilvl="4" w:tplc="7BC6C6E0" w:tentative="1">
      <w:start w:val="1"/>
      <w:numFmt w:val="bullet"/>
      <w:lvlText w:val="•"/>
      <w:lvlJc w:val="left"/>
      <w:pPr>
        <w:tabs>
          <w:tab w:val="num" w:pos="3600"/>
        </w:tabs>
        <w:ind w:left="3600" w:hanging="360"/>
      </w:pPr>
      <w:rPr>
        <w:rFonts w:ascii="Times New Roman" w:hAnsi="Times New Roman" w:hint="default"/>
      </w:rPr>
    </w:lvl>
    <w:lvl w:ilvl="5" w:tplc="2516131E" w:tentative="1">
      <w:start w:val="1"/>
      <w:numFmt w:val="bullet"/>
      <w:lvlText w:val="•"/>
      <w:lvlJc w:val="left"/>
      <w:pPr>
        <w:tabs>
          <w:tab w:val="num" w:pos="4320"/>
        </w:tabs>
        <w:ind w:left="4320" w:hanging="360"/>
      </w:pPr>
      <w:rPr>
        <w:rFonts w:ascii="Times New Roman" w:hAnsi="Times New Roman" w:hint="default"/>
      </w:rPr>
    </w:lvl>
    <w:lvl w:ilvl="6" w:tplc="B4CEB83A" w:tentative="1">
      <w:start w:val="1"/>
      <w:numFmt w:val="bullet"/>
      <w:lvlText w:val="•"/>
      <w:lvlJc w:val="left"/>
      <w:pPr>
        <w:tabs>
          <w:tab w:val="num" w:pos="5040"/>
        </w:tabs>
        <w:ind w:left="5040" w:hanging="360"/>
      </w:pPr>
      <w:rPr>
        <w:rFonts w:ascii="Times New Roman" w:hAnsi="Times New Roman" w:hint="default"/>
      </w:rPr>
    </w:lvl>
    <w:lvl w:ilvl="7" w:tplc="0486C97E" w:tentative="1">
      <w:start w:val="1"/>
      <w:numFmt w:val="bullet"/>
      <w:lvlText w:val="•"/>
      <w:lvlJc w:val="left"/>
      <w:pPr>
        <w:tabs>
          <w:tab w:val="num" w:pos="5760"/>
        </w:tabs>
        <w:ind w:left="5760" w:hanging="360"/>
      </w:pPr>
      <w:rPr>
        <w:rFonts w:ascii="Times New Roman" w:hAnsi="Times New Roman" w:hint="default"/>
      </w:rPr>
    </w:lvl>
    <w:lvl w:ilvl="8" w:tplc="79CE6E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AD7247"/>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830853"/>
    <w:multiLevelType w:val="multilevel"/>
    <w:tmpl w:val="FFC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F6B85"/>
    <w:multiLevelType w:val="multilevel"/>
    <w:tmpl w:val="2182E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1AB2A65"/>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6681C"/>
    <w:multiLevelType w:val="multilevel"/>
    <w:tmpl w:val="70944574"/>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522DAA"/>
    <w:multiLevelType w:val="multilevel"/>
    <w:tmpl w:val="12E0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31BE"/>
    <w:multiLevelType w:val="multilevel"/>
    <w:tmpl w:val="217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E4A0D"/>
    <w:multiLevelType w:val="hybridMultilevel"/>
    <w:tmpl w:val="3B406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237F1D"/>
    <w:multiLevelType w:val="multilevel"/>
    <w:tmpl w:val="960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52593"/>
    <w:multiLevelType w:val="multilevel"/>
    <w:tmpl w:val="5AE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8"/>
  </w:num>
  <w:num w:numId="4">
    <w:abstractNumId w:val="12"/>
  </w:num>
  <w:num w:numId="5">
    <w:abstractNumId w:val="6"/>
  </w:num>
  <w:num w:numId="6">
    <w:abstractNumId w:val="2"/>
  </w:num>
  <w:num w:numId="7">
    <w:abstractNumId w:val="17"/>
    <w:lvlOverride w:ilvl="0">
      <w:lvl w:ilvl="0">
        <w:numFmt w:val="lowerLetter"/>
        <w:lvlText w:val="%1."/>
        <w:lvlJc w:val="left"/>
      </w:lvl>
    </w:lvlOverride>
  </w:num>
  <w:num w:numId="8">
    <w:abstractNumId w:val="10"/>
  </w:num>
  <w:num w:numId="9">
    <w:abstractNumId w:val="14"/>
  </w:num>
  <w:num w:numId="10">
    <w:abstractNumId w:val="16"/>
  </w:num>
  <w:num w:numId="11">
    <w:abstractNumId w:val="13"/>
  </w:num>
  <w:num w:numId="12">
    <w:abstractNumId w:val="9"/>
  </w:num>
  <w:num w:numId="13">
    <w:abstractNumId w:val="1"/>
  </w:num>
  <w:num w:numId="14">
    <w:abstractNumId w:val="7"/>
  </w:num>
  <w:num w:numId="15">
    <w:abstractNumId w:val="3"/>
  </w:num>
  <w:num w:numId="16">
    <w:abstractNumId w:val="0"/>
  </w:num>
  <w:num w:numId="17">
    <w:abstractNumId w:val="15"/>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MLc0NDE1tDAxMjRQ0lEKTi0uzszPAykwrAUAPU2sYCwAAAA="/>
  </w:docVars>
  <w:rsids>
    <w:rsidRoot w:val="009B6F95"/>
    <w:rsid w:val="00003318"/>
    <w:rsid w:val="0000392B"/>
    <w:rsid w:val="000062CA"/>
    <w:rsid w:val="00016097"/>
    <w:rsid w:val="00021E3F"/>
    <w:rsid w:val="0002272D"/>
    <w:rsid w:val="000228D2"/>
    <w:rsid w:val="00025C42"/>
    <w:rsid w:val="000279E1"/>
    <w:rsid w:val="00030955"/>
    <w:rsid w:val="00033AF7"/>
    <w:rsid w:val="00033B8E"/>
    <w:rsid w:val="00041AEB"/>
    <w:rsid w:val="00042195"/>
    <w:rsid w:val="0004701A"/>
    <w:rsid w:val="00050434"/>
    <w:rsid w:val="0005250F"/>
    <w:rsid w:val="000528D5"/>
    <w:rsid w:val="00054F57"/>
    <w:rsid w:val="00073502"/>
    <w:rsid w:val="00073F28"/>
    <w:rsid w:val="00075EAF"/>
    <w:rsid w:val="0008340D"/>
    <w:rsid w:val="0008500C"/>
    <w:rsid w:val="00090ECD"/>
    <w:rsid w:val="000941FE"/>
    <w:rsid w:val="000953FA"/>
    <w:rsid w:val="000A1557"/>
    <w:rsid w:val="000B4A13"/>
    <w:rsid w:val="000B5571"/>
    <w:rsid w:val="000C7D60"/>
    <w:rsid w:val="000E2DDF"/>
    <w:rsid w:val="000E3C6F"/>
    <w:rsid w:val="000E7DF5"/>
    <w:rsid w:val="000F0F5B"/>
    <w:rsid w:val="000F454F"/>
    <w:rsid w:val="000F69FB"/>
    <w:rsid w:val="00111443"/>
    <w:rsid w:val="00111972"/>
    <w:rsid w:val="00126D33"/>
    <w:rsid w:val="0013639B"/>
    <w:rsid w:val="00143318"/>
    <w:rsid w:val="00143871"/>
    <w:rsid w:val="001533C6"/>
    <w:rsid w:val="00153500"/>
    <w:rsid w:val="001551B1"/>
    <w:rsid w:val="00155475"/>
    <w:rsid w:val="001647ED"/>
    <w:rsid w:val="001661B6"/>
    <w:rsid w:val="001751B2"/>
    <w:rsid w:val="00177019"/>
    <w:rsid w:val="00180E50"/>
    <w:rsid w:val="001A054C"/>
    <w:rsid w:val="001A057C"/>
    <w:rsid w:val="001A18C2"/>
    <w:rsid w:val="001A1956"/>
    <w:rsid w:val="001B36CE"/>
    <w:rsid w:val="001B51E9"/>
    <w:rsid w:val="001C29DD"/>
    <w:rsid w:val="001C79DF"/>
    <w:rsid w:val="001C7AA8"/>
    <w:rsid w:val="001D0188"/>
    <w:rsid w:val="001D353A"/>
    <w:rsid w:val="001E184B"/>
    <w:rsid w:val="001E5ADF"/>
    <w:rsid w:val="001E5B60"/>
    <w:rsid w:val="001E64ED"/>
    <w:rsid w:val="001E66A9"/>
    <w:rsid w:val="001E7386"/>
    <w:rsid w:val="001F544E"/>
    <w:rsid w:val="0020227E"/>
    <w:rsid w:val="00203993"/>
    <w:rsid w:val="00212778"/>
    <w:rsid w:val="00217C85"/>
    <w:rsid w:val="0022679E"/>
    <w:rsid w:val="002279E0"/>
    <w:rsid w:val="002355FD"/>
    <w:rsid w:val="00237490"/>
    <w:rsid w:val="0025105A"/>
    <w:rsid w:val="00252F19"/>
    <w:rsid w:val="002539E9"/>
    <w:rsid w:val="00253F05"/>
    <w:rsid w:val="00260568"/>
    <w:rsid w:val="00260660"/>
    <w:rsid w:val="0027319A"/>
    <w:rsid w:val="002825CF"/>
    <w:rsid w:val="0028563C"/>
    <w:rsid w:val="00297B5C"/>
    <w:rsid w:val="002A50FF"/>
    <w:rsid w:val="002B2A2E"/>
    <w:rsid w:val="002B32B5"/>
    <w:rsid w:val="002B7600"/>
    <w:rsid w:val="002E75FC"/>
    <w:rsid w:val="003019C9"/>
    <w:rsid w:val="00301A51"/>
    <w:rsid w:val="00302BA3"/>
    <w:rsid w:val="0031300E"/>
    <w:rsid w:val="0031406F"/>
    <w:rsid w:val="00315ECE"/>
    <w:rsid w:val="003167B2"/>
    <w:rsid w:val="00324083"/>
    <w:rsid w:val="003245E4"/>
    <w:rsid w:val="00327F97"/>
    <w:rsid w:val="0033683E"/>
    <w:rsid w:val="00342D80"/>
    <w:rsid w:val="00345CBD"/>
    <w:rsid w:val="003600A9"/>
    <w:rsid w:val="00360EA7"/>
    <w:rsid w:val="003619E5"/>
    <w:rsid w:val="00365E43"/>
    <w:rsid w:val="00371422"/>
    <w:rsid w:val="00375D06"/>
    <w:rsid w:val="00381A82"/>
    <w:rsid w:val="00383A0E"/>
    <w:rsid w:val="003845CE"/>
    <w:rsid w:val="00384C9B"/>
    <w:rsid w:val="00391B75"/>
    <w:rsid w:val="00394CAD"/>
    <w:rsid w:val="00397640"/>
    <w:rsid w:val="003C15EF"/>
    <w:rsid w:val="003C462C"/>
    <w:rsid w:val="003D03E5"/>
    <w:rsid w:val="003D5968"/>
    <w:rsid w:val="003D704E"/>
    <w:rsid w:val="003D7B8F"/>
    <w:rsid w:val="003E0A81"/>
    <w:rsid w:val="003E1B7A"/>
    <w:rsid w:val="003E1E6A"/>
    <w:rsid w:val="003E206A"/>
    <w:rsid w:val="003E7DF6"/>
    <w:rsid w:val="003F4309"/>
    <w:rsid w:val="004010BD"/>
    <w:rsid w:val="00402784"/>
    <w:rsid w:val="00405D8E"/>
    <w:rsid w:val="004104FE"/>
    <w:rsid w:val="00422B3C"/>
    <w:rsid w:val="0043335F"/>
    <w:rsid w:val="00434B7B"/>
    <w:rsid w:val="00436C5D"/>
    <w:rsid w:val="004412B9"/>
    <w:rsid w:val="00450BDF"/>
    <w:rsid w:val="004558C1"/>
    <w:rsid w:val="00455A46"/>
    <w:rsid w:val="00455E25"/>
    <w:rsid w:val="00460FBA"/>
    <w:rsid w:val="0046666D"/>
    <w:rsid w:val="00486F20"/>
    <w:rsid w:val="004A2A44"/>
    <w:rsid w:val="004B45B1"/>
    <w:rsid w:val="004B717D"/>
    <w:rsid w:val="004B7740"/>
    <w:rsid w:val="004D08A8"/>
    <w:rsid w:val="004D54C6"/>
    <w:rsid w:val="004D6F8B"/>
    <w:rsid w:val="004E1C1A"/>
    <w:rsid w:val="004E581B"/>
    <w:rsid w:val="004F3ED3"/>
    <w:rsid w:val="004F5DCD"/>
    <w:rsid w:val="004F6364"/>
    <w:rsid w:val="00512262"/>
    <w:rsid w:val="00522816"/>
    <w:rsid w:val="00526A72"/>
    <w:rsid w:val="005318EC"/>
    <w:rsid w:val="00544385"/>
    <w:rsid w:val="00576D79"/>
    <w:rsid w:val="0058131E"/>
    <w:rsid w:val="00592CDC"/>
    <w:rsid w:val="005976E7"/>
    <w:rsid w:val="005A5A29"/>
    <w:rsid w:val="005B0E34"/>
    <w:rsid w:val="005B2DA7"/>
    <w:rsid w:val="005D48EB"/>
    <w:rsid w:val="005E4F99"/>
    <w:rsid w:val="005E6973"/>
    <w:rsid w:val="006023EB"/>
    <w:rsid w:val="00604798"/>
    <w:rsid w:val="0061232D"/>
    <w:rsid w:val="00616D17"/>
    <w:rsid w:val="006227D2"/>
    <w:rsid w:val="00626247"/>
    <w:rsid w:val="00630D74"/>
    <w:rsid w:val="00632084"/>
    <w:rsid w:val="00634227"/>
    <w:rsid w:val="00642F50"/>
    <w:rsid w:val="00643E5C"/>
    <w:rsid w:val="00653284"/>
    <w:rsid w:val="006556D0"/>
    <w:rsid w:val="0066041F"/>
    <w:rsid w:val="00662EE9"/>
    <w:rsid w:val="00672475"/>
    <w:rsid w:val="00683CE8"/>
    <w:rsid w:val="00686963"/>
    <w:rsid w:val="00690112"/>
    <w:rsid w:val="006A6A69"/>
    <w:rsid w:val="006B4870"/>
    <w:rsid w:val="006C14C7"/>
    <w:rsid w:val="006D6E83"/>
    <w:rsid w:val="006E3414"/>
    <w:rsid w:val="006E3C54"/>
    <w:rsid w:val="006E406C"/>
    <w:rsid w:val="006E6D03"/>
    <w:rsid w:val="006F66BE"/>
    <w:rsid w:val="00712C86"/>
    <w:rsid w:val="00714724"/>
    <w:rsid w:val="0072276E"/>
    <w:rsid w:val="00725907"/>
    <w:rsid w:val="0073037E"/>
    <w:rsid w:val="0073342B"/>
    <w:rsid w:val="0074510E"/>
    <w:rsid w:val="007501F3"/>
    <w:rsid w:val="007622BA"/>
    <w:rsid w:val="0076537C"/>
    <w:rsid w:val="00770912"/>
    <w:rsid w:val="00776225"/>
    <w:rsid w:val="007771CB"/>
    <w:rsid w:val="00777B5C"/>
    <w:rsid w:val="00786614"/>
    <w:rsid w:val="00790CF5"/>
    <w:rsid w:val="00795393"/>
    <w:rsid w:val="00795C95"/>
    <w:rsid w:val="007A2BFD"/>
    <w:rsid w:val="007B52CA"/>
    <w:rsid w:val="007C30B9"/>
    <w:rsid w:val="007C72B7"/>
    <w:rsid w:val="007D0427"/>
    <w:rsid w:val="007D1E1A"/>
    <w:rsid w:val="007D1E8D"/>
    <w:rsid w:val="007D3564"/>
    <w:rsid w:val="007D5B88"/>
    <w:rsid w:val="007E24AC"/>
    <w:rsid w:val="007E26F9"/>
    <w:rsid w:val="007E3373"/>
    <w:rsid w:val="007E4448"/>
    <w:rsid w:val="007E724E"/>
    <w:rsid w:val="007F0C40"/>
    <w:rsid w:val="007F3A36"/>
    <w:rsid w:val="007F66C2"/>
    <w:rsid w:val="007F77FE"/>
    <w:rsid w:val="00802AA8"/>
    <w:rsid w:val="008031B8"/>
    <w:rsid w:val="00805B1C"/>
    <w:rsid w:val="0080661C"/>
    <w:rsid w:val="00806D36"/>
    <w:rsid w:val="0080721E"/>
    <w:rsid w:val="0081114A"/>
    <w:rsid w:val="00813944"/>
    <w:rsid w:val="0082150C"/>
    <w:rsid w:val="00824A5B"/>
    <w:rsid w:val="00834F58"/>
    <w:rsid w:val="00841BA9"/>
    <w:rsid w:val="00847130"/>
    <w:rsid w:val="00847B2B"/>
    <w:rsid w:val="0087033D"/>
    <w:rsid w:val="00872BDD"/>
    <w:rsid w:val="00884729"/>
    <w:rsid w:val="00891AE9"/>
    <w:rsid w:val="00897BCF"/>
    <w:rsid w:val="008A142E"/>
    <w:rsid w:val="008A259A"/>
    <w:rsid w:val="008A4973"/>
    <w:rsid w:val="008B047F"/>
    <w:rsid w:val="008B0721"/>
    <w:rsid w:val="008B1AA2"/>
    <w:rsid w:val="008B635C"/>
    <w:rsid w:val="008B6D89"/>
    <w:rsid w:val="008B7921"/>
    <w:rsid w:val="008D2E8D"/>
    <w:rsid w:val="008D55EF"/>
    <w:rsid w:val="008E01F4"/>
    <w:rsid w:val="008E2E3E"/>
    <w:rsid w:val="008E7711"/>
    <w:rsid w:val="008F7E89"/>
    <w:rsid w:val="0091539D"/>
    <w:rsid w:val="00946E33"/>
    <w:rsid w:val="00952590"/>
    <w:rsid w:val="00956A77"/>
    <w:rsid w:val="00957CD9"/>
    <w:rsid w:val="009607A9"/>
    <w:rsid w:val="00962E28"/>
    <w:rsid w:val="0097310B"/>
    <w:rsid w:val="00974C71"/>
    <w:rsid w:val="009905F3"/>
    <w:rsid w:val="009972CB"/>
    <w:rsid w:val="009A1DF0"/>
    <w:rsid w:val="009B0C4C"/>
    <w:rsid w:val="009B1AA8"/>
    <w:rsid w:val="009B2C56"/>
    <w:rsid w:val="009B3153"/>
    <w:rsid w:val="009B533D"/>
    <w:rsid w:val="009B5447"/>
    <w:rsid w:val="009B6F95"/>
    <w:rsid w:val="009C449D"/>
    <w:rsid w:val="009C4FE2"/>
    <w:rsid w:val="009C5B7B"/>
    <w:rsid w:val="009D54FB"/>
    <w:rsid w:val="009D7336"/>
    <w:rsid w:val="009E611C"/>
    <w:rsid w:val="009F34EC"/>
    <w:rsid w:val="009F673B"/>
    <w:rsid w:val="00A21E5F"/>
    <w:rsid w:val="00A3015D"/>
    <w:rsid w:val="00A36A47"/>
    <w:rsid w:val="00A430F4"/>
    <w:rsid w:val="00A477E1"/>
    <w:rsid w:val="00A51BCF"/>
    <w:rsid w:val="00A52268"/>
    <w:rsid w:val="00A53C55"/>
    <w:rsid w:val="00A6394C"/>
    <w:rsid w:val="00A65377"/>
    <w:rsid w:val="00A67057"/>
    <w:rsid w:val="00A8098A"/>
    <w:rsid w:val="00A84AC2"/>
    <w:rsid w:val="00A962BE"/>
    <w:rsid w:val="00A96DEF"/>
    <w:rsid w:val="00AA07BE"/>
    <w:rsid w:val="00AA4CDD"/>
    <w:rsid w:val="00AB3AD0"/>
    <w:rsid w:val="00AB4E66"/>
    <w:rsid w:val="00AC1907"/>
    <w:rsid w:val="00AC508A"/>
    <w:rsid w:val="00AC67F6"/>
    <w:rsid w:val="00AD143A"/>
    <w:rsid w:val="00AE0A36"/>
    <w:rsid w:val="00AE296E"/>
    <w:rsid w:val="00AF04D9"/>
    <w:rsid w:val="00AF0810"/>
    <w:rsid w:val="00AF21DD"/>
    <w:rsid w:val="00B0475D"/>
    <w:rsid w:val="00B1043D"/>
    <w:rsid w:val="00B17C4B"/>
    <w:rsid w:val="00B272E0"/>
    <w:rsid w:val="00B37EB7"/>
    <w:rsid w:val="00B417B9"/>
    <w:rsid w:val="00B44133"/>
    <w:rsid w:val="00B518B6"/>
    <w:rsid w:val="00B54712"/>
    <w:rsid w:val="00B551DD"/>
    <w:rsid w:val="00B57DCC"/>
    <w:rsid w:val="00B7624D"/>
    <w:rsid w:val="00B76942"/>
    <w:rsid w:val="00B7786A"/>
    <w:rsid w:val="00B81825"/>
    <w:rsid w:val="00B84F31"/>
    <w:rsid w:val="00B940F4"/>
    <w:rsid w:val="00BA3160"/>
    <w:rsid w:val="00BB096D"/>
    <w:rsid w:val="00BC43A6"/>
    <w:rsid w:val="00BD32CA"/>
    <w:rsid w:val="00BD5F6A"/>
    <w:rsid w:val="00BD63E9"/>
    <w:rsid w:val="00BD7022"/>
    <w:rsid w:val="00BE190A"/>
    <w:rsid w:val="00BE6F9C"/>
    <w:rsid w:val="00BE78DC"/>
    <w:rsid w:val="00BE7AF9"/>
    <w:rsid w:val="00C13077"/>
    <w:rsid w:val="00C1471E"/>
    <w:rsid w:val="00C1691D"/>
    <w:rsid w:val="00C23424"/>
    <w:rsid w:val="00C2471E"/>
    <w:rsid w:val="00C25D42"/>
    <w:rsid w:val="00C30301"/>
    <w:rsid w:val="00C33536"/>
    <w:rsid w:val="00C34925"/>
    <w:rsid w:val="00C45D68"/>
    <w:rsid w:val="00C65194"/>
    <w:rsid w:val="00C66A9B"/>
    <w:rsid w:val="00C760C0"/>
    <w:rsid w:val="00C803F3"/>
    <w:rsid w:val="00C8294D"/>
    <w:rsid w:val="00C92EBC"/>
    <w:rsid w:val="00C95837"/>
    <w:rsid w:val="00CA5C98"/>
    <w:rsid w:val="00CA6CC1"/>
    <w:rsid w:val="00CB3D1B"/>
    <w:rsid w:val="00CB7C2B"/>
    <w:rsid w:val="00CC2020"/>
    <w:rsid w:val="00CC58E8"/>
    <w:rsid w:val="00CC6E3C"/>
    <w:rsid w:val="00CD02A8"/>
    <w:rsid w:val="00CD0B60"/>
    <w:rsid w:val="00CE6DDE"/>
    <w:rsid w:val="00D028C5"/>
    <w:rsid w:val="00D06492"/>
    <w:rsid w:val="00D13761"/>
    <w:rsid w:val="00D210DF"/>
    <w:rsid w:val="00D27A7A"/>
    <w:rsid w:val="00D42941"/>
    <w:rsid w:val="00D4333C"/>
    <w:rsid w:val="00D45B4D"/>
    <w:rsid w:val="00D53711"/>
    <w:rsid w:val="00D570D1"/>
    <w:rsid w:val="00D572CD"/>
    <w:rsid w:val="00D61212"/>
    <w:rsid w:val="00D61DFC"/>
    <w:rsid w:val="00D622F3"/>
    <w:rsid w:val="00D71A7F"/>
    <w:rsid w:val="00D71F34"/>
    <w:rsid w:val="00D921BE"/>
    <w:rsid w:val="00DA1D01"/>
    <w:rsid w:val="00DA2BB1"/>
    <w:rsid w:val="00DA7394"/>
    <w:rsid w:val="00DB1310"/>
    <w:rsid w:val="00DB6B1A"/>
    <w:rsid w:val="00DC3037"/>
    <w:rsid w:val="00DD3A81"/>
    <w:rsid w:val="00DF1451"/>
    <w:rsid w:val="00DF3243"/>
    <w:rsid w:val="00DF36EA"/>
    <w:rsid w:val="00E03FFA"/>
    <w:rsid w:val="00E126AE"/>
    <w:rsid w:val="00E1290A"/>
    <w:rsid w:val="00E1526E"/>
    <w:rsid w:val="00E270B3"/>
    <w:rsid w:val="00E40557"/>
    <w:rsid w:val="00E42FCC"/>
    <w:rsid w:val="00E44867"/>
    <w:rsid w:val="00E64CBC"/>
    <w:rsid w:val="00E71A97"/>
    <w:rsid w:val="00E73CE2"/>
    <w:rsid w:val="00E84A84"/>
    <w:rsid w:val="00E91842"/>
    <w:rsid w:val="00E93306"/>
    <w:rsid w:val="00E94022"/>
    <w:rsid w:val="00E96593"/>
    <w:rsid w:val="00EA6C74"/>
    <w:rsid w:val="00EC5032"/>
    <w:rsid w:val="00EC6F40"/>
    <w:rsid w:val="00EC7D6A"/>
    <w:rsid w:val="00ED0E85"/>
    <w:rsid w:val="00ED1799"/>
    <w:rsid w:val="00ED1D57"/>
    <w:rsid w:val="00ED2853"/>
    <w:rsid w:val="00EE00A8"/>
    <w:rsid w:val="00EE1FE1"/>
    <w:rsid w:val="00EF01DB"/>
    <w:rsid w:val="00F1124F"/>
    <w:rsid w:val="00F1350E"/>
    <w:rsid w:val="00F150F6"/>
    <w:rsid w:val="00F2109F"/>
    <w:rsid w:val="00F2709A"/>
    <w:rsid w:val="00F2761A"/>
    <w:rsid w:val="00F33C6F"/>
    <w:rsid w:val="00F34AC8"/>
    <w:rsid w:val="00F46AD5"/>
    <w:rsid w:val="00F51374"/>
    <w:rsid w:val="00F515E4"/>
    <w:rsid w:val="00F654A3"/>
    <w:rsid w:val="00F77BED"/>
    <w:rsid w:val="00F914AB"/>
    <w:rsid w:val="00F9547D"/>
    <w:rsid w:val="00FB6FD7"/>
    <w:rsid w:val="00FC05D5"/>
    <w:rsid w:val="00FD6490"/>
    <w:rsid w:val="00FE15F2"/>
    <w:rsid w:val="00FE2CE2"/>
    <w:rsid w:val="00FE5F60"/>
    <w:rsid w:val="00FE733A"/>
    <w:rsid w:val="00FF1429"/>
    <w:rsid w:val="00FF31BF"/>
    <w:rsid w:val="00FF540F"/>
    <w:rsid w:val="00FF6DE1"/>
    <w:rsid w:val="0E9F3E10"/>
    <w:rsid w:val="2210BD95"/>
    <w:rsid w:val="532B7529"/>
    <w:rsid w:val="59A0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A698"/>
  <w15:chartTrackingRefBased/>
  <w15:docId w15:val="{28212AA6-6307-4EDF-BF23-9081AC6F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 w:type="paragraph" w:styleId="NormalWeb">
    <w:name w:val="Normal (Web)"/>
    <w:basedOn w:val="Normal"/>
    <w:uiPriority w:val="99"/>
    <w:unhideWhenUsed/>
    <w:rsid w:val="00A653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660"/>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E3373"/>
    <w:rPr>
      <w:sz w:val="16"/>
      <w:szCs w:val="16"/>
    </w:rPr>
  </w:style>
  <w:style w:type="paragraph" w:styleId="CommentText">
    <w:name w:val="annotation text"/>
    <w:basedOn w:val="Normal"/>
    <w:link w:val="CommentTextChar"/>
    <w:uiPriority w:val="99"/>
    <w:semiHidden/>
    <w:unhideWhenUsed/>
    <w:rsid w:val="007E3373"/>
    <w:pPr>
      <w:spacing w:line="240" w:lineRule="auto"/>
    </w:pPr>
    <w:rPr>
      <w:sz w:val="20"/>
      <w:szCs w:val="20"/>
    </w:rPr>
  </w:style>
  <w:style w:type="character" w:customStyle="1" w:styleId="CommentTextChar">
    <w:name w:val="Comment Text Char"/>
    <w:basedOn w:val="DefaultParagraphFont"/>
    <w:link w:val="CommentText"/>
    <w:uiPriority w:val="99"/>
    <w:semiHidden/>
    <w:rsid w:val="007E337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E3373"/>
    <w:rPr>
      <w:b/>
      <w:bCs/>
    </w:rPr>
  </w:style>
  <w:style w:type="character" w:customStyle="1" w:styleId="CommentSubjectChar">
    <w:name w:val="Comment Subject Char"/>
    <w:basedOn w:val="CommentTextChar"/>
    <w:link w:val="CommentSubject"/>
    <w:uiPriority w:val="99"/>
    <w:semiHidden/>
    <w:rsid w:val="007E3373"/>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F34AC8"/>
    <w:rPr>
      <w:color w:val="954F72" w:themeColor="followedHyperlink"/>
      <w:u w:val="single"/>
    </w:rPr>
  </w:style>
  <w:style w:type="character" w:styleId="UnresolvedMention">
    <w:name w:val="Unresolved Mention"/>
    <w:basedOn w:val="DefaultParagraphFont"/>
    <w:uiPriority w:val="99"/>
    <w:semiHidden/>
    <w:unhideWhenUsed/>
    <w:rsid w:val="00F34AC8"/>
    <w:rPr>
      <w:color w:val="605E5C"/>
      <w:shd w:val="clear" w:color="auto" w:fill="E1DFDD"/>
    </w:rPr>
  </w:style>
  <w:style w:type="character" w:customStyle="1" w:styleId="apple-tab-span">
    <w:name w:val="apple-tab-span"/>
    <w:basedOn w:val="DefaultParagraphFont"/>
    <w:rsid w:val="004B717D"/>
  </w:style>
  <w:style w:type="character" w:customStyle="1" w:styleId="normaltextrun">
    <w:name w:val="normaltextrun"/>
    <w:basedOn w:val="DefaultParagraphFont"/>
    <w:rsid w:val="00DF36EA"/>
  </w:style>
  <w:style w:type="character" w:customStyle="1" w:styleId="advancedproofingissue">
    <w:name w:val="advancedproofingissue"/>
    <w:basedOn w:val="DefaultParagraphFont"/>
    <w:rsid w:val="00BB096D"/>
  </w:style>
  <w:style w:type="character" w:customStyle="1" w:styleId="contextualspellingandgrammarerror">
    <w:name w:val="contextualspellingandgrammarerror"/>
    <w:basedOn w:val="DefaultParagraphFont"/>
    <w:rsid w:val="00BB096D"/>
  </w:style>
  <w:style w:type="character" w:customStyle="1" w:styleId="eop">
    <w:name w:val="eop"/>
    <w:basedOn w:val="DefaultParagraphFont"/>
    <w:rsid w:val="00BB096D"/>
  </w:style>
  <w:style w:type="paragraph" w:customStyle="1" w:styleId="paragraph">
    <w:name w:val="paragraph"/>
    <w:basedOn w:val="Normal"/>
    <w:rsid w:val="00252F1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A67057"/>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4F5DC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dress">
    <w:name w:val="Address"/>
    <w:basedOn w:val="Normal"/>
    <w:rsid w:val="009C5B7B"/>
    <w:pPr>
      <w:widowControl w:val="0"/>
      <w:spacing w:after="0" w:line="220" w:lineRule="exact"/>
      <w:ind w:left="0" w:firstLine="0"/>
    </w:pPr>
    <w:rPr>
      <w:rFonts w:ascii="Frutiger 45 Light" w:eastAsia="Times New Roman" w:hAnsi="Frutiger 45 Light"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147">
      <w:bodyDiv w:val="1"/>
      <w:marLeft w:val="0"/>
      <w:marRight w:val="0"/>
      <w:marTop w:val="0"/>
      <w:marBottom w:val="0"/>
      <w:divBdr>
        <w:top w:val="none" w:sz="0" w:space="0" w:color="auto"/>
        <w:left w:val="none" w:sz="0" w:space="0" w:color="auto"/>
        <w:bottom w:val="none" w:sz="0" w:space="0" w:color="auto"/>
        <w:right w:val="none" w:sz="0" w:space="0" w:color="auto"/>
      </w:divBdr>
    </w:div>
    <w:div w:id="91170919">
      <w:bodyDiv w:val="1"/>
      <w:marLeft w:val="0"/>
      <w:marRight w:val="0"/>
      <w:marTop w:val="0"/>
      <w:marBottom w:val="0"/>
      <w:divBdr>
        <w:top w:val="none" w:sz="0" w:space="0" w:color="auto"/>
        <w:left w:val="none" w:sz="0" w:space="0" w:color="auto"/>
        <w:bottom w:val="none" w:sz="0" w:space="0" w:color="auto"/>
        <w:right w:val="none" w:sz="0" w:space="0" w:color="auto"/>
      </w:divBdr>
    </w:div>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22580465">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255283404">
      <w:bodyDiv w:val="1"/>
      <w:marLeft w:val="0"/>
      <w:marRight w:val="0"/>
      <w:marTop w:val="0"/>
      <w:marBottom w:val="0"/>
      <w:divBdr>
        <w:top w:val="none" w:sz="0" w:space="0" w:color="auto"/>
        <w:left w:val="none" w:sz="0" w:space="0" w:color="auto"/>
        <w:bottom w:val="none" w:sz="0" w:space="0" w:color="auto"/>
        <w:right w:val="none" w:sz="0" w:space="0" w:color="auto"/>
      </w:divBdr>
    </w:div>
    <w:div w:id="439489646">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705717637">
      <w:bodyDiv w:val="1"/>
      <w:marLeft w:val="0"/>
      <w:marRight w:val="0"/>
      <w:marTop w:val="0"/>
      <w:marBottom w:val="0"/>
      <w:divBdr>
        <w:top w:val="none" w:sz="0" w:space="0" w:color="auto"/>
        <w:left w:val="none" w:sz="0" w:space="0" w:color="auto"/>
        <w:bottom w:val="none" w:sz="0" w:space="0" w:color="auto"/>
        <w:right w:val="none" w:sz="0" w:space="0" w:color="auto"/>
      </w:divBdr>
    </w:div>
    <w:div w:id="719018601">
      <w:bodyDiv w:val="1"/>
      <w:marLeft w:val="0"/>
      <w:marRight w:val="0"/>
      <w:marTop w:val="0"/>
      <w:marBottom w:val="0"/>
      <w:divBdr>
        <w:top w:val="none" w:sz="0" w:space="0" w:color="auto"/>
        <w:left w:val="none" w:sz="0" w:space="0" w:color="auto"/>
        <w:bottom w:val="none" w:sz="0" w:space="0" w:color="auto"/>
        <w:right w:val="none" w:sz="0" w:space="0" w:color="auto"/>
      </w:divBdr>
    </w:div>
    <w:div w:id="873931313">
      <w:bodyDiv w:val="1"/>
      <w:marLeft w:val="0"/>
      <w:marRight w:val="0"/>
      <w:marTop w:val="0"/>
      <w:marBottom w:val="0"/>
      <w:divBdr>
        <w:top w:val="none" w:sz="0" w:space="0" w:color="auto"/>
        <w:left w:val="none" w:sz="0" w:space="0" w:color="auto"/>
        <w:bottom w:val="none" w:sz="0" w:space="0" w:color="auto"/>
        <w:right w:val="none" w:sz="0" w:space="0" w:color="auto"/>
      </w:divBdr>
    </w:div>
    <w:div w:id="904677989">
      <w:bodyDiv w:val="1"/>
      <w:marLeft w:val="0"/>
      <w:marRight w:val="0"/>
      <w:marTop w:val="0"/>
      <w:marBottom w:val="0"/>
      <w:divBdr>
        <w:top w:val="none" w:sz="0" w:space="0" w:color="auto"/>
        <w:left w:val="none" w:sz="0" w:space="0" w:color="auto"/>
        <w:bottom w:val="none" w:sz="0" w:space="0" w:color="auto"/>
        <w:right w:val="none" w:sz="0" w:space="0" w:color="auto"/>
      </w:divBdr>
    </w:div>
    <w:div w:id="993950645">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46895440">
      <w:bodyDiv w:val="1"/>
      <w:marLeft w:val="0"/>
      <w:marRight w:val="0"/>
      <w:marTop w:val="0"/>
      <w:marBottom w:val="0"/>
      <w:divBdr>
        <w:top w:val="none" w:sz="0" w:space="0" w:color="auto"/>
        <w:left w:val="none" w:sz="0" w:space="0" w:color="auto"/>
        <w:bottom w:val="none" w:sz="0" w:space="0" w:color="auto"/>
        <w:right w:val="none" w:sz="0" w:space="0" w:color="auto"/>
      </w:divBdr>
      <w:divsChild>
        <w:div w:id="704134130">
          <w:marLeft w:val="0"/>
          <w:marRight w:val="0"/>
          <w:marTop w:val="0"/>
          <w:marBottom w:val="0"/>
          <w:divBdr>
            <w:top w:val="none" w:sz="0" w:space="0" w:color="auto"/>
            <w:left w:val="none" w:sz="0" w:space="0" w:color="auto"/>
            <w:bottom w:val="none" w:sz="0" w:space="0" w:color="auto"/>
            <w:right w:val="none" w:sz="0" w:space="0" w:color="auto"/>
          </w:divBdr>
          <w:divsChild>
            <w:div w:id="1586300262">
              <w:marLeft w:val="0"/>
              <w:marRight w:val="0"/>
              <w:marTop w:val="0"/>
              <w:marBottom w:val="0"/>
              <w:divBdr>
                <w:top w:val="none" w:sz="0" w:space="0" w:color="auto"/>
                <w:left w:val="none" w:sz="0" w:space="0" w:color="auto"/>
                <w:bottom w:val="none" w:sz="0" w:space="0" w:color="auto"/>
                <w:right w:val="none" w:sz="0" w:space="0" w:color="auto"/>
              </w:divBdr>
              <w:divsChild>
                <w:div w:id="1983541008">
                  <w:marLeft w:val="0"/>
                  <w:marRight w:val="0"/>
                  <w:marTop w:val="0"/>
                  <w:marBottom w:val="0"/>
                  <w:divBdr>
                    <w:top w:val="none" w:sz="0" w:space="0" w:color="auto"/>
                    <w:left w:val="none" w:sz="0" w:space="0" w:color="auto"/>
                    <w:bottom w:val="none" w:sz="0" w:space="0" w:color="auto"/>
                    <w:right w:val="none" w:sz="0" w:space="0" w:color="auto"/>
                  </w:divBdr>
                  <w:divsChild>
                    <w:div w:id="751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79806860">
      <w:bodyDiv w:val="1"/>
      <w:marLeft w:val="0"/>
      <w:marRight w:val="0"/>
      <w:marTop w:val="0"/>
      <w:marBottom w:val="0"/>
      <w:divBdr>
        <w:top w:val="none" w:sz="0" w:space="0" w:color="auto"/>
        <w:left w:val="none" w:sz="0" w:space="0" w:color="auto"/>
        <w:bottom w:val="none" w:sz="0" w:space="0" w:color="auto"/>
        <w:right w:val="none" w:sz="0" w:space="0" w:color="auto"/>
      </w:divBdr>
    </w:div>
    <w:div w:id="1187404729">
      <w:bodyDiv w:val="1"/>
      <w:marLeft w:val="0"/>
      <w:marRight w:val="0"/>
      <w:marTop w:val="0"/>
      <w:marBottom w:val="0"/>
      <w:divBdr>
        <w:top w:val="none" w:sz="0" w:space="0" w:color="auto"/>
        <w:left w:val="none" w:sz="0" w:space="0" w:color="auto"/>
        <w:bottom w:val="none" w:sz="0" w:space="0" w:color="auto"/>
        <w:right w:val="none" w:sz="0" w:space="0" w:color="auto"/>
      </w:divBdr>
    </w:div>
    <w:div w:id="1221213176">
      <w:bodyDiv w:val="1"/>
      <w:marLeft w:val="0"/>
      <w:marRight w:val="0"/>
      <w:marTop w:val="0"/>
      <w:marBottom w:val="0"/>
      <w:divBdr>
        <w:top w:val="none" w:sz="0" w:space="0" w:color="auto"/>
        <w:left w:val="none" w:sz="0" w:space="0" w:color="auto"/>
        <w:bottom w:val="none" w:sz="0" w:space="0" w:color="auto"/>
        <w:right w:val="none" w:sz="0" w:space="0" w:color="auto"/>
      </w:divBdr>
      <w:divsChild>
        <w:div w:id="1366754913">
          <w:marLeft w:val="0"/>
          <w:marRight w:val="0"/>
          <w:marTop w:val="0"/>
          <w:marBottom w:val="0"/>
          <w:divBdr>
            <w:top w:val="none" w:sz="0" w:space="0" w:color="auto"/>
            <w:left w:val="none" w:sz="0" w:space="0" w:color="auto"/>
            <w:bottom w:val="none" w:sz="0" w:space="0" w:color="auto"/>
            <w:right w:val="none" w:sz="0" w:space="0" w:color="auto"/>
          </w:divBdr>
          <w:divsChild>
            <w:div w:id="1899591040">
              <w:marLeft w:val="0"/>
              <w:marRight w:val="0"/>
              <w:marTop w:val="0"/>
              <w:marBottom w:val="0"/>
              <w:divBdr>
                <w:top w:val="none" w:sz="0" w:space="0" w:color="auto"/>
                <w:left w:val="none" w:sz="0" w:space="0" w:color="auto"/>
                <w:bottom w:val="none" w:sz="0" w:space="0" w:color="auto"/>
                <w:right w:val="none" w:sz="0" w:space="0" w:color="auto"/>
              </w:divBdr>
              <w:divsChild>
                <w:div w:id="2035501578">
                  <w:marLeft w:val="0"/>
                  <w:marRight w:val="0"/>
                  <w:marTop w:val="0"/>
                  <w:marBottom w:val="0"/>
                  <w:divBdr>
                    <w:top w:val="none" w:sz="0" w:space="0" w:color="auto"/>
                    <w:left w:val="none" w:sz="0" w:space="0" w:color="auto"/>
                    <w:bottom w:val="none" w:sz="0" w:space="0" w:color="auto"/>
                    <w:right w:val="none" w:sz="0" w:space="0" w:color="auto"/>
                  </w:divBdr>
                  <w:divsChild>
                    <w:div w:id="544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290546514">
      <w:bodyDiv w:val="1"/>
      <w:marLeft w:val="0"/>
      <w:marRight w:val="0"/>
      <w:marTop w:val="0"/>
      <w:marBottom w:val="0"/>
      <w:divBdr>
        <w:top w:val="none" w:sz="0" w:space="0" w:color="auto"/>
        <w:left w:val="none" w:sz="0" w:space="0" w:color="auto"/>
        <w:bottom w:val="none" w:sz="0" w:space="0" w:color="auto"/>
        <w:right w:val="none" w:sz="0" w:space="0" w:color="auto"/>
      </w:divBdr>
      <w:divsChild>
        <w:div w:id="1321546727">
          <w:marLeft w:val="0"/>
          <w:marRight w:val="0"/>
          <w:marTop w:val="0"/>
          <w:marBottom w:val="0"/>
          <w:divBdr>
            <w:top w:val="none" w:sz="0" w:space="0" w:color="auto"/>
            <w:left w:val="none" w:sz="0" w:space="0" w:color="auto"/>
            <w:bottom w:val="none" w:sz="0" w:space="0" w:color="auto"/>
            <w:right w:val="none" w:sz="0" w:space="0" w:color="auto"/>
          </w:divBdr>
          <w:divsChild>
            <w:div w:id="77051561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1113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00925489">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614050561">
      <w:bodyDiv w:val="1"/>
      <w:marLeft w:val="0"/>
      <w:marRight w:val="0"/>
      <w:marTop w:val="0"/>
      <w:marBottom w:val="0"/>
      <w:divBdr>
        <w:top w:val="none" w:sz="0" w:space="0" w:color="auto"/>
        <w:left w:val="none" w:sz="0" w:space="0" w:color="auto"/>
        <w:bottom w:val="none" w:sz="0" w:space="0" w:color="auto"/>
        <w:right w:val="none" w:sz="0" w:space="0" w:color="auto"/>
      </w:divBdr>
    </w:div>
    <w:div w:id="1665428341">
      <w:bodyDiv w:val="1"/>
      <w:marLeft w:val="0"/>
      <w:marRight w:val="0"/>
      <w:marTop w:val="0"/>
      <w:marBottom w:val="0"/>
      <w:divBdr>
        <w:top w:val="none" w:sz="0" w:space="0" w:color="auto"/>
        <w:left w:val="none" w:sz="0" w:space="0" w:color="auto"/>
        <w:bottom w:val="none" w:sz="0" w:space="0" w:color="auto"/>
        <w:right w:val="none" w:sz="0" w:space="0" w:color="auto"/>
      </w:divBdr>
    </w:div>
    <w:div w:id="1737238171">
      <w:bodyDiv w:val="1"/>
      <w:marLeft w:val="0"/>
      <w:marRight w:val="0"/>
      <w:marTop w:val="0"/>
      <w:marBottom w:val="0"/>
      <w:divBdr>
        <w:top w:val="none" w:sz="0" w:space="0" w:color="auto"/>
        <w:left w:val="none" w:sz="0" w:space="0" w:color="auto"/>
        <w:bottom w:val="none" w:sz="0" w:space="0" w:color="auto"/>
        <w:right w:val="none" w:sz="0" w:space="0" w:color="auto"/>
      </w:divBdr>
    </w:div>
    <w:div w:id="1756585440">
      <w:bodyDiv w:val="1"/>
      <w:marLeft w:val="0"/>
      <w:marRight w:val="0"/>
      <w:marTop w:val="0"/>
      <w:marBottom w:val="0"/>
      <w:divBdr>
        <w:top w:val="none" w:sz="0" w:space="0" w:color="auto"/>
        <w:left w:val="none" w:sz="0" w:space="0" w:color="auto"/>
        <w:bottom w:val="none" w:sz="0" w:space="0" w:color="auto"/>
        <w:right w:val="none" w:sz="0" w:space="0" w:color="auto"/>
      </w:divBdr>
    </w:div>
    <w:div w:id="1903254159">
      <w:bodyDiv w:val="1"/>
      <w:marLeft w:val="0"/>
      <w:marRight w:val="0"/>
      <w:marTop w:val="0"/>
      <w:marBottom w:val="0"/>
      <w:divBdr>
        <w:top w:val="none" w:sz="0" w:space="0" w:color="auto"/>
        <w:left w:val="none" w:sz="0" w:space="0" w:color="auto"/>
        <w:bottom w:val="none" w:sz="0" w:space="0" w:color="auto"/>
        <w:right w:val="none" w:sz="0" w:space="0" w:color="auto"/>
      </w:divBdr>
    </w:div>
    <w:div w:id="1919778779">
      <w:bodyDiv w:val="1"/>
      <w:marLeft w:val="0"/>
      <w:marRight w:val="0"/>
      <w:marTop w:val="0"/>
      <w:marBottom w:val="0"/>
      <w:divBdr>
        <w:top w:val="none" w:sz="0" w:space="0" w:color="auto"/>
        <w:left w:val="none" w:sz="0" w:space="0" w:color="auto"/>
        <w:bottom w:val="none" w:sz="0" w:space="0" w:color="auto"/>
        <w:right w:val="none" w:sz="0" w:space="0" w:color="auto"/>
      </w:divBdr>
      <w:divsChild>
        <w:div w:id="1147549996">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sChild>
                <w:div w:id="1927373830">
                  <w:marLeft w:val="0"/>
                  <w:marRight w:val="0"/>
                  <w:marTop w:val="0"/>
                  <w:marBottom w:val="0"/>
                  <w:divBdr>
                    <w:top w:val="none" w:sz="0" w:space="0" w:color="auto"/>
                    <w:left w:val="none" w:sz="0" w:space="0" w:color="auto"/>
                    <w:bottom w:val="none" w:sz="0" w:space="0" w:color="auto"/>
                    <w:right w:val="none" w:sz="0" w:space="0" w:color="auto"/>
                  </w:divBdr>
                  <w:divsChild>
                    <w:div w:id="1429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 w:id="2006324753">
      <w:bodyDiv w:val="1"/>
      <w:marLeft w:val="0"/>
      <w:marRight w:val="0"/>
      <w:marTop w:val="0"/>
      <w:marBottom w:val="0"/>
      <w:divBdr>
        <w:top w:val="none" w:sz="0" w:space="0" w:color="auto"/>
        <w:left w:val="none" w:sz="0" w:space="0" w:color="auto"/>
        <w:bottom w:val="none" w:sz="0" w:space="0" w:color="auto"/>
        <w:right w:val="none" w:sz="0" w:space="0" w:color="auto"/>
      </w:divBdr>
    </w:div>
    <w:div w:id="2027369678">
      <w:bodyDiv w:val="1"/>
      <w:marLeft w:val="0"/>
      <w:marRight w:val="0"/>
      <w:marTop w:val="0"/>
      <w:marBottom w:val="0"/>
      <w:divBdr>
        <w:top w:val="none" w:sz="0" w:space="0" w:color="auto"/>
        <w:left w:val="none" w:sz="0" w:space="0" w:color="auto"/>
        <w:bottom w:val="none" w:sz="0" w:space="0" w:color="auto"/>
        <w:right w:val="none" w:sz="0" w:space="0" w:color="auto"/>
      </w:divBdr>
    </w:div>
    <w:div w:id="2046716473">
      <w:bodyDiv w:val="1"/>
      <w:marLeft w:val="0"/>
      <w:marRight w:val="0"/>
      <w:marTop w:val="0"/>
      <w:marBottom w:val="0"/>
      <w:divBdr>
        <w:top w:val="none" w:sz="0" w:space="0" w:color="auto"/>
        <w:left w:val="none" w:sz="0" w:space="0" w:color="auto"/>
        <w:bottom w:val="none" w:sz="0" w:space="0" w:color="auto"/>
        <w:right w:val="none" w:sz="0" w:space="0" w:color="auto"/>
      </w:divBdr>
    </w:div>
    <w:div w:id="2057194551">
      <w:bodyDiv w:val="1"/>
      <w:marLeft w:val="0"/>
      <w:marRight w:val="0"/>
      <w:marTop w:val="0"/>
      <w:marBottom w:val="0"/>
      <w:divBdr>
        <w:top w:val="none" w:sz="0" w:space="0" w:color="auto"/>
        <w:left w:val="none" w:sz="0" w:space="0" w:color="auto"/>
        <w:bottom w:val="none" w:sz="0" w:space="0" w:color="auto"/>
        <w:right w:val="none" w:sz="0" w:space="0" w:color="auto"/>
      </w:divBdr>
    </w:div>
    <w:div w:id="2090535915">
      <w:bodyDiv w:val="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sChild>
            <w:div w:id="2017924704">
              <w:marLeft w:val="0"/>
              <w:marRight w:val="0"/>
              <w:marTop w:val="0"/>
              <w:marBottom w:val="0"/>
              <w:divBdr>
                <w:top w:val="none" w:sz="0" w:space="0" w:color="auto"/>
                <w:left w:val="none" w:sz="0" w:space="0" w:color="auto"/>
                <w:bottom w:val="none" w:sz="0" w:space="0" w:color="auto"/>
                <w:right w:val="none" w:sz="0" w:space="0" w:color="auto"/>
              </w:divBdr>
              <w:divsChild>
                <w:div w:id="168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903E2FE5194F07884F95ED81866A63"/>
        <w:category>
          <w:name w:val="General"/>
          <w:gallery w:val="placeholder"/>
        </w:category>
        <w:types>
          <w:type w:val="bbPlcHdr"/>
        </w:types>
        <w:behaviors>
          <w:behavior w:val="content"/>
        </w:behaviors>
        <w:guid w:val="{3DBE9A3C-9A32-45A0-9BC2-40D720CCC2E2}"/>
      </w:docPartPr>
      <w:docPartBody>
        <w:p w:rsidR="00D60045" w:rsidRDefault="001C79DF">
          <w:pPr>
            <w:pStyle w:val="61903E2FE5194F07884F95ED81866A63"/>
          </w:pPr>
          <w:r w:rsidRPr="00FB1144">
            <w:rPr>
              <w:rStyle w:val="PlaceholderText"/>
            </w:rPr>
            <w:t>Click here to enter text.</w:t>
          </w:r>
        </w:p>
      </w:docPartBody>
    </w:docPart>
    <w:docPart>
      <w:docPartPr>
        <w:name w:val="AE9338A0C99C407E9F91ED506E09056D"/>
        <w:category>
          <w:name w:val="General"/>
          <w:gallery w:val="placeholder"/>
        </w:category>
        <w:types>
          <w:type w:val="bbPlcHdr"/>
        </w:types>
        <w:behaviors>
          <w:behavior w:val="content"/>
        </w:behaviors>
        <w:guid w:val="{D53D84E0-54C2-4EF6-B078-6059A5EA3E9C}"/>
      </w:docPartPr>
      <w:docPartBody>
        <w:p w:rsidR="00EA638C" w:rsidRDefault="00405D8E" w:rsidP="00405D8E">
          <w:pPr>
            <w:pStyle w:val="AE9338A0C99C407E9F91ED506E09056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6AA4"/>
    <w:rsid w:val="000108BA"/>
    <w:rsid w:val="0009562D"/>
    <w:rsid w:val="001C79DF"/>
    <w:rsid w:val="002223D1"/>
    <w:rsid w:val="002F1F5C"/>
    <w:rsid w:val="00397D5C"/>
    <w:rsid w:val="00405D8E"/>
    <w:rsid w:val="00426D5F"/>
    <w:rsid w:val="004E2C7C"/>
    <w:rsid w:val="0059263A"/>
    <w:rsid w:val="005D1EC7"/>
    <w:rsid w:val="00671ED4"/>
    <w:rsid w:val="0070637B"/>
    <w:rsid w:val="0070672E"/>
    <w:rsid w:val="007E753A"/>
    <w:rsid w:val="008E413F"/>
    <w:rsid w:val="00935B88"/>
    <w:rsid w:val="00A31BA8"/>
    <w:rsid w:val="00B656EE"/>
    <w:rsid w:val="00B710F9"/>
    <w:rsid w:val="00BA35B1"/>
    <w:rsid w:val="00CF39C3"/>
    <w:rsid w:val="00D0122B"/>
    <w:rsid w:val="00D60045"/>
    <w:rsid w:val="00E92042"/>
    <w:rsid w:val="00EA638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D8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61903E2FE5194F07884F95ED81866A63">
    <w:name w:val="61903E2FE5194F07884F95ED81866A63"/>
    <w:rPr>
      <w:lang w:eastAsia="en-GB"/>
    </w:rPr>
  </w:style>
  <w:style w:type="paragraph" w:customStyle="1" w:styleId="AE9338A0C99C407E9F91ED506E09056D">
    <w:name w:val="AE9338A0C99C407E9F91ED506E09056D"/>
    <w:rsid w:val="00405D8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1AC28A2-1A36-48C6-B408-DFC7E39B7903}">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FA5E5EFC-5A08-4B74-8F67-997C2750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B1AC28A2-1A36-48C6-B408-DFC7E39B7903}">
  <ds:schemaRefs>
    <ds:schemaRef ds:uri="http://schemas.openxmlformats.org/officeDocument/2006/bibliography"/>
  </ds:schemaRefs>
</ds:datastoreItem>
</file>

<file path=customXml/itemProps7.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8.xml><?xml version="1.0" encoding="utf-8"?>
<ds:datastoreItem xmlns:ds="http://schemas.openxmlformats.org/officeDocument/2006/customXml" ds:itemID="{FA5E5EFC-5A08-4B74-8F67-997C2750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6743</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Lusi Manukyan</cp:lastModifiedBy>
  <cp:revision>47</cp:revision>
  <cp:lastPrinted>2018-11-26T12:55:00Z</cp:lastPrinted>
  <dcterms:created xsi:type="dcterms:W3CDTF">2022-07-19T12:38:00Z</dcterms:created>
  <dcterms:modified xsi:type="dcterms:W3CDTF">2022-07-22T15:13:00Z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